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ind w:left="8363"/>
        <w:jc w:val="center"/>
        <w:rPr>
          <w:b/>
          <w:sz w:val="28"/>
        </w:rPr>
      </w:pPr>
      <w:bookmarkStart w:id="0" w:name="_GoBack"/>
      <w:bookmarkEnd w:id="0"/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«28</w:t>
      </w:r>
      <w:r w:rsidR="002F36BE">
        <w:rPr>
          <w:sz w:val="28"/>
        </w:rPr>
        <w:t>» декабря 202</w:t>
      </w:r>
      <w:r w:rsidR="00B42A3A">
        <w:rPr>
          <w:sz w:val="28"/>
        </w:rPr>
        <w:t>1</w:t>
      </w:r>
      <w:r w:rsidR="002F36BE">
        <w:rPr>
          <w:sz w:val="28"/>
        </w:rPr>
        <w:t xml:space="preserve"> года № </w:t>
      </w:r>
      <w:r w:rsidR="008336C0">
        <w:rPr>
          <w:sz w:val="28"/>
        </w:rPr>
        <w:t>24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образования Усть-Лабинский район – КСП.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B42A3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год </w:t>
      </w:r>
    </w:p>
    <w:p w:rsidR="00D70AE2" w:rsidRPr="00D70AE2" w:rsidRDefault="00D70AE2" w:rsidP="00D70AE2">
      <w:pPr>
        <w:suppressAutoHyphens w:val="0"/>
        <w:jc w:val="both"/>
        <w:rPr>
          <w:bCs/>
          <w:iCs/>
          <w:sz w:val="28"/>
          <w:szCs w:val="28"/>
        </w:rPr>
      </w:pPr>
      <w:r w:rsidRPr="00D70AE2">
        <w:rPr>
          <w:bCs/>
          <w:iCs/>
          <w:sz w:val="28"/>
          <w:szCs w:val="28"/>
        </w:rPr>
        <w:t xml:space="preserve">(с изменениями, внесенными приказом председателя Контрольно-счетной палаты муниципального образования Усть-Лабинский район от </w:t>
      </w:r>
      <w:r>
        <w:rPr>
          <w:bCs/>
          <w:iCs/>
          <w:sz w:val="28"/>
          <w:szCs w:val="28"/>
        </w:rPr>
        <w:t>27</w:t>
      </w:r>
      <w:r w:rsidRPr="00D70AE2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1</w:t>
      </w:r>
      <w:r w:rsidRPr="00D70AE2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2</w:t>
      </w:r>
      <w:r w:rsidRPr="00D70AE2">
        <w:rPr>
          <w:bCs/>
          <w:iCs/>
          <w:sz w:val="28"/>
          <w:szCs w:val="28"/>
        </w:rPr>
        <w:t xml:space="preserve"> № </w:t>
      </w:r>
      <w:r w:rsidR="00E42410">
        <w:rPr>
          <w:bCs/>
          <w:iCs/>
          <w:sz w:val="28"/>
          <w:szCs w:val="28"/>
        </w:rPr>
        <w:t>5</w:t>
      </w:r>
      <w:r w:rsidRPr="00D70AE2">
        <w:rPr>
          <w:bCs/>
          <w:iCs/>
          <w:sz w:val="28"/>
          <w:szCs w:val="28"/>
        </w:rPr>
        <w:t xml:space="preserve"> (п.2.1.5)</w:t>
      </w:r>
      <w:r w:rsidR="00DF4C7B">
        <w:rPr>
          <w:bCs/>
          <w:iCs/>
          <w:sz w:val="28"/>
          <w:szCs w:val="28"/>
        </w:rPr>
        <w:t>, от 27.01.2022 № 6 (п.1.1.16)</w:t>
      </w:r>
      <w:r w:rsidRPr="00D70AE2">
        <w:rPr>
          <w:bCs/>
          <w:iCs/>
          <w:sz w:val="28"/>
          <w:szCs w:val="28"/>
        </w:rPr>
        <w:t>)</w:t>
      </w:r>
    </w:p>
    <w:p w:rsidR="00D70AE2" w:rsidRDefault="00D70AE2">
      <w:pPr>
        <w:jc w:val="center"/>
        <w:rPr>
          <w:b/>
          <w:bCs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701"/>
      </w:tblGrid>
      <w:tr w:rsidR="00DE125B" w:rsidTr="00E6142A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6142A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6142A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3C0D35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B42A3A" w:rsidRPr="001B1666">
              <w:t>1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B42A3A" w:rsidRPr="001B1666">
              <w:t>1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апрель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3C0D35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2022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B42A3A" w:rsidRPr="001B1666">
              <w:rPr>
                <w:bCs/>
              </w:rPr>
              <w:t>2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6142A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6431F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B42A3A" w:rsidRPr="001B1666">
              <w:t>2</w:t>
            </w:r>
            <w:r w:rsidRPr="001B1666">
              <w:t xml:space="preserve"> год и плановый период 202</w:t>
            </w:r>
            <w:r w:rsidR="00B42A3A" w:rsidRPr="001B1666">
              <w:t>3</w:t>
            </w:r>
            <w:r w:rsidRPr="001B1666">
              <w:t xml:space="preserve"> и 202</w:t>
            </w:r>
            <w:r w:rsidR="00B42A3A" w:rsidRPr="001B1666">
              <w:t>4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6142A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1B1666" w:rsidRDefault="003A432D" w:rsidP="009C6343">
            <w:pPr>
              <w:jc w:val="both"/>
            </w:pPr>
            <w:r w:rsidRPr="001B1666">
              <w:t>Экспертиза проектов муниципальных правовых актов в части, касающейся расходных обязательств</w:t>
            </w:r>
            <w:r w:rsidR="004C5D8E" w:rsidRPr="001B1666">
              <w:t xml:space="preserve"> МО Усть-Лабинский район</w:t>
            </w:r>
            <w:r w:rsidRPr="001B166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6E7B51">
            <w:pPr>
              <w:jc w:val="center"/>
              <w:rPr>
                <w:bCs/>
              </w:rPr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F90355" w:rsidP="00EB7027">
            <w:pPr>
              <w:jc w:val="center"/>
            </w:pPr>
            <w:r w:rsidRPr="001B1666">
              <w:t xml:space="preserve">п. </w:t>
            </w:r>
            <w:r w:rsidR="002F36BE" w:rsidRPr="001B1666">
              <w:t>7 ч. 2 ст. 9</w:t>
            </w:r>
          </w:p>
          <w:p w:rsidR="00CD2C78" w:rsidRPr="001B1666" w:rsidRDefault="002F36BE" w:rsidP="00352D12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3B2E20">
            <w:pPr>
              <w:jc w:val="both"/>
            </w:pPr>
            <w:r w:rsidRPr="001B1666">
              <w:t>Экспертиза проекта решения о бюджете на 2023 год и на плановый период 2024 и 2025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5D7858">
            <w:pPr>
              <w:jc w:val="center"/>
            </w:pPr>
            <w:r w:rsidRPr="001B1666">
              <w:t>ноябрь-декабрь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Федеральным законом от 5 апреля 2013 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1.1.16.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B22334">
            <w:r w:rsidRPr="0020342B">
              <w:t xml:space="preserve">Проверка соблюдения законности, эффективности и результативности использования бюджетных средств, выделенных </w:t>
            </w:r>
            <w:r w:rsidR="00B22334">
              <w:t>муниципальному бюджетному образовательному учреждению средняя образовательная школа</w:t>
            </w:r>
            <w:r w:rsidR="00E72401">
              <w:t xml:space="preserve"> № 10 </w:t>
            </w:r>
            <w:r w:rsidRPr="0020342B">
              <w:t>в 2021 год</w:t>
            </w:r>
            <w:r w:rsidR="00B22334">
              <w:t>у,</w:t>
            </w:r>
            <w:r w:rsidRPr="0020342B">
              <w:t xml:space="preserve"> </w:t>
            </w:r>
            <w:r w:rsidR="00B22334">
              <w:t>в части реализации</w:t>
            </w:r>
            <w:r w:rsidRPr="0020342B">
              <w:t xml:space="preserve"> мероприяти</w:t>
            </w:r>
            <w:r>
              <w:t xml:space="preserve">я «Приобретение </w:t>
            </w:r>
            <w:r w:rsidR="00E72401" w:rsidRPr="00E72401">
              <w:t xml:space="preserve">автобуса для обеспечения подвоза учащихся» </w:t>
            </w:r>
            <w:r>
              <w:t>в рамках регионального проекта «Безопасные и качественные автомобильные дороги» Национального проекта «Безопасные и качественные автомобильные дороги».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824099" w:rsidP="00701BCB">
            <w:pPr>
              <w:jc w:val="center"/>
            </w:pPr>
            <w:r>
              <w:t>1</w:t>
            </w:r>
            <w:r w:rsidR="00701BCB">
              <w:t xml:space="preserve">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2A" w:rsidRDefault="00701BCB" w:rsidP="00701BCB">
            <w:pPr>
              <w:jc w:val="center"/>
            </w:pPr>
            <w:r w:rsidRPr="001B1666">
              <w:t xml:space="preserve">Предложение главы 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и сельских поселений Усть-Лабинского района на 2022 год».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2021 год и подготовка заключения на годовой отчет об исполнении бюджета за 2021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2022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3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 на 2023 год, проверка и анализ обоснованности показателей бюджетов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ноябрь-декабрь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>
              <w:rPr>
                <w:rFonts w:ascii="Times New Roman CYR" w:hAnsi="Times New Roman CYR" w:cs="Times New Roman CYR"/>
              </w:rPr>
              <w:t>Сов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1.2.8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</w:pPr>
            <w:r w:rsidRPr="001B1666">
              <w:t xml:space="preserve">Проверка соблюдения законности, эффективности и результативности использования бюджетных средств, выделенных в 2020-2021 году на реализацию мероприятий «Благоустройство общественной территории (парк: Краснодарский край, Усть-Лабинский </w:t>
            </w:r>
            <w:r w:rsidRPr="001B1666">
              <w:lastRenderedPageBreak/>
              <w:t>район, с/п Кирпильское, ст. Кирпильская, ул. Красная)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lastRenderedPageBreak/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 1 ч. 2 ст. 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Предложение главы Кирпильского сельского поселения</w:t>
            </w: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lastRenderedPageBreak/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highlight w:val="magenta"/>
              </w:rPr>
            </w:pPr>
            <w:r w:rsidRPr="001B1666">
              <w:t>Проверка соблюдения законности, эффективности и результативности использования бюджетных средств, выделенных в 2021 году на реализацию мероприятий «Благоустройство общественной территории (от ул. Чапаева до ул. Красной в ст. Воронежской Усть-Лабинского района)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Предложение главы МО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</w:rPr>
            </w:pPr>
            <w:r w:rsidRPr="001B1666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>Проверка достоверности, полноты и соответствия нормативным требованиям составления и представления бюджетной отчетности за 2021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февраль-март 2022 г.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ст. 264.4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 xml:space="preserve">Проверка отдельных вопросов финансово-хозяйственной деятельности Районного муниципального бюджетного учреждения культуры </w:t>
            </w:r>
            <w:r w:rsidRPr="001B1666">
              <w:rPr>
                <w:rStyle w:val="extended-textshort"/>
              </w:rPr>
              <w:t>"Кубань"</w:t>
            </w:r>
            <w:r w:rsidRPr="001B1666">
              <w:t xml:space="preserve"> муниципального образования Усть-Лабинский район за 2021 год, в том числе аудит в сфере закупок.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4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ст.8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Предложение Главы</w:t>
            </w: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2.1.3.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2.1.4.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по мере поступления в палату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9277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255521">
            <w:pPr>
              <w:spacing w:line="264" w:lineRule="auto"/>
              <w:jc w:val="both"/>
              <w:rPr>
                <w:iCs/>
              </w:rPr>
            </w:pPr>
            <w:r w:rsidRPr="0079277B">
              <w:rPr>
                <w:iCs/>
              </w:rPr>
              <w:t>Аудит эффективности предоставления и использования краевых субвенций, выделенных на осуществление государственных полномочий в области общего образования в муниципальных общеобразовательных организациях» на территории муниципального образования Усть-Лабинский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1B1666" w:rsidRDefault="0079277B" w:rsidP="00C655EB">
            <w:pPr>
              <w:spacing w:line="264" w:lineRule="auto"/>
              <w:jc w:val="center"/>
            </w:pPr>
            <w:r>
              <w:t>11.05.-28.07.2022</w:t>
            </w:r>
            <w:r w:rsidR="00C655EB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79277B" w:rsidRDefault="003C3910" w:rsidP="0079277B">
            <w:pPr>
              <w:suppressAutoHyphens w:val="0"/>
              <w:jc w:val="center"/>
            </w:pPr>
            <w:r>
              <w:t>ч.</w:t>
            </w:r>
            <w:r w:rsidR="0079277B" w:rsidRPr="0079277B">
              <w:t> 1 ст. 18 Закона № 6-ФЗ,</w:t>
            </w:r>
          </w:p>
          <w:p w:rsidR="0079277B" w:rsidRPr="001B1666" w:rsidRDefault="0079277B" w:rsidP="0079277B">
            <w:pPr>
              <w:spacing w:line="264" w:lineRule="auto"/>
              <w:jc w:val="center"/>
            </w:pPr>
            <w:r w:rsidRPr="0079277B">
              <w:t>ст. 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EB" w:rsidRDefault="00C655EB" w:rsidP="00831C3E">
            <w:pPr>
              <w:suppressAutoHyphens w:val="0"/>
              <w:jc w:val="center"/>
              <w:rPr>
                <w:iCs/>
              </w:rPr>
            </w:pP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 xml:space="preserve">Письмо КСП КК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от 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831C3E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 xml:space="preserve">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№ </w:t>
            </w:r>
            <w:r>
              <w:rPr>
                <w:iCs/>
              </w:rPr>
              <w:t>4586-09/09</w:t>
            </w:r>
          </w:p>
          <w:p w:rsidR="0079277B" w:rsidRPr="001B1666" w:rsidRDefault="0079277B" w:rsidP="00831C3E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за 2021 год главных распорядителей бюджетных средств городского и 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Проверка отдельных вопросов финансово-хозяйственной деятельности бюджетных и автономных учреждений городского и сельских поселений за 2021 год: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 Муниципальное бюджетное учреждение «Станичник» Ладожского сельского поселения Усть-Лабинского района;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 Муниципальное автономное учреждение культуры «Центр кино и досуга «Знамя» Усть-Лабинского городского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lastRenderedPageBreak/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 xml:space="preserve">Предложение главы Ладожского сельского </w:t>
            </w:r>
            <w:r w:rsidRPr="001B1666">
              <w:rPr>
                <w:bCs/>
              </w:rPr>
              <w:lastRenderedPageBreak/>
              <w:t>поселения</w:t>
            </w: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>Предложение главы городского поселения</w:t>
            </w:r>
          </w:p>
        </w:tc>
      </w:tr>
      <w:tr w:rsidR="00701BCB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2021 году: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«Радуга» Вимовского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спорта «Колос» Железного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Default="00701BCB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1B1666">
              <w:t>- Муниципальное казенное учреждение «Культурно-досуговый центр «Надежда» Ленинского сельского поселения Усть-Лабинского района;</w:t>
            </w:r>
          </w:p>
          <w:p w:rsidR="00C85120" w:rsidRPr="001B1666" w:rsidRDefault="00C85120" w:rsidP="00701BCB">
            <w:pPr>
              <w:tabs>
                <w:tab w:val="left" w:pos="319"/>
              </w:tabs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«Воронежский» Воронежского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>-Муниципальное казенное учреждение «Спортивный центр «Восток»</w:t>
            </w:r>
            <w:r w:rsidRPr="001B1666">
              <w:rPr>
                <w:bCs/>
              </w:rPr>
              <w:t xml:space="preserve"> Братского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rPr>
                <w:bCs/>
              </w:rPr>
              <w:t xml:space="preserve">- </w:t>
            </w:r>
            <w:r w:rsidRPr="001B1666">
              <w:t xml:space="preserve">Муниципальное казенное учреждение культуры «Культурно-досуговый центр «Александровский» </w:t>
            </w:r>
            <w:r w:rsidRPr="001B1666">
              <w:lastRenderedPageBreak/>
              <w:t>Александровского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6142A">
        <w:trPr>
          <w:trHeight w:val="40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5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6142A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6142A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2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0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2021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2023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2023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5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6142A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1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 xml:space="preserve">Взаимодействие с Контрольно-счетной палатой Краснодарского края и контрольно-счетными органами </w:t>
            </w:r>
            <w:r w:rsidRPr="001B1666">
              <w:rPr>
                <w:iCs/>
              </w:rPr>
              <w:lastRenderedPageBreak/>
              <w:t>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F1" w:rsidRDefault="00F60BF1" w:rsidP="00DE125B">
      <w:r>
        <w:separator/>
      </w:r>
    </w:p>
  </w:endnote>
  <w:endnote w:type="continuationSeparator" w:id="0">
    <w:p w:rsidR="00F60BF1" w:rsidRDefault="00F60BF1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EndPr/>
    <w:sdtContent>
      <w:p w:rsidR="0079277B" w:rsidRDefault="0079277B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85E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277B" w:rsidRDefault="0079277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F1" w:rsidRDefault="00F60BF1" w:rsidP="00DE125B">
      <w:r>
        <w:separator/>
      </w:r>
    </w:p>
  </w:footnote>
  <w:footnote w:type="continuationSeparator" w:id="0">
    <w:p w:rsidR="00F60BF1" w:rsidRDefault="00F60BF1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5B"/>
    <w:rsid w:val="00001461"/>
    <w:rsid w:val="00006EC3"/>
    <w:rsid w:val="00023083"/>
    <w:rsid w:val="0002356C"/>
    <w:rsid w:val="0004366D"/>
    <w:rsid w:val="00066D27"/>
    <w:rsid w:val="00080B10"/>
    <w:rsid w:val="00083343"/>
    <w:rsid w:val="00083865"/>
    <w:rsid w:val="000859E1"/>
    <w:rsid w:val="000B756E"/>
    <w:rsid w:val="000E5898"/>
    <w:rsid w:val="000F3952"/>
    <w:rsid w:val="00104342"/>
    <w:rsid w:val="00123445"/>
    <w:rsid w:val="00130F3B"/>
    <w:rsid w:val="001310BE"/>
    <w:rsid w:val="00145FBE"/>
    <w:rsid w:val="001625C0"/>
    <w:rsid w:val="00187526"/>
    <w:rsid w:val="0019097D"/>
    <w:rsid w:val="00195550"/>
    <w:rsid w:val="001B1666"/>
    <w:rsid w:val="001B2121"/>
    <w:rsid w:val="001C5B0E"/>
    <w:rsid w:val="001E5CF8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760A6"/>
    <w:rsid w:val="002837AA"/>
    <w:rsid w:val="00290C00"/>
    <w:rsid w:val="002A1852"/>
    <w:rsid w:val="002A65F8"/>
    <w:rsid w:val="002B3D36"/>
    <w:rsid w:val="002B4B99"/>
    <w:rsid w:val="002C67CA"/>
    <w:rsid w:val="002D537E"/>
    <w:rsid w:val="002E58CD"/>
    <w:rsid w:val="002F162E"/>
    <w:rsid w:val="002F36BE"/>
    <w:rsid w:val="002F5EBB"/>
    <w:rsid w:val="00330606"/>
    <w:rsid w:val="00337D08"/>
    <w:rsid w:val="00351277"/>
    <w:rsid w:val="00352D12"/>
    <w:rsid w:val="00354258"/>
    <w:rsid w:val="00355AF2"/>
    <w:rsid w:val="003754D1"/>
    <w:rsid w:val="003849FE"/>
    <w:rsid w:val="00390166"/>
    <w:rsid w:val="003973C0"/>
    <w:rsid w:val="003A0CAC"/>
    <w:rsid w:val="003A21E9"/>
    <w:rsid w:val="003A432D"/>
    <w:rsid w:val="003A589D"/>
    <w:rsid w:val="003B2E20"/>
    <w:rsid w:val="003B4735"/>
    <w:rsid w:val="003C0D35"/>
    <w:rsid w:val="003C1D1F"/>
    <w:rsid w:val="003C3910"/>
    <w:rsid w:val="003C6B66"/>
    <w:rsid w:val="003D69B8"/>
    <w:rsid w:val="003E4D44"/>
    <w:rsid w:val="004018F1"/>
    <w:rsid w:val="00407B02"/>
    <w:rsid w:val="00435E54"/>
    <w:rsid w:val="004363EF"/>
    <w:rsid w:val="0045480A"/>
    <w:rsid w:val="004636B3"/>
    <w:rsid w:val="004725F5"/>
    <w:rsid w:val="00475117"/>
    <w:rsid w:val="004772C6"/>
    <w:rsid w:val="00480DDE"/>
    <w:rsid w:val="00494F48"/>
    <w:rsid w:val="004B4123"/>
    <w:rsid w:val="004C5D8E"/>
    <w:rsid w:val="004E447D"/>
    <w:rsid w:val="004E6458"/>
    <w:rsid w:val="004F33F2"/>
    <w:rsid w:val="0050518E"/>
    <w:rsid w:val="00507012"/>
    <w:rsid w:val="00523C18"/>
    <w:rsid w:val="00566FCF"/>
    <w:rsid w:val="00575EAA"/>
    <w:rsid w:val="0058387E"/>
    <w:rsid w:val="00584EAE"/>
    <w:rsid w:val="005906CC"/>
    <w:rsid w:val="00596BF1"/>
    <w:rsid w:val="005A36CA"/>
    <w:rsid w:val="005B0C16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244"/>
    <w:rsid w:val="006143D2"/>
    <w:rsid w:val="00633082"/>
    <w:rsid w:val="00637B0C"/>
    <w:rsid w:val="006406ED"/>
    <w:rsid w:val="00644C3F"/>
    <w:rsid w:val="006643D6"/>
    <w:rsid w:val="00686F30"/>
    <w:rsid w:val="00695848"/>
    <w:rsid w:val="006A406D"/>
    <w:rsid w:val="006B1C3F"/>
    <w:rsid w:val="006B3AD6"/>
    <w:rsid w:val="006D3E11"/>
    <w:rsid w:val="006E7B51"/>
    <w:rsid w:val="00701BCB"/>
    <w:rsid w:val="00707BCA"/>
    <w:rsid w:val="00734281"/>
    <w:rsid w:val="00745D15"/>
    <w:rsid w:val="0076056C"/>
    <w:rsid w:val="0076431F"/>
    <w:rsid w:val="00773B1C"/>
    <w:rsid w:val="00776EAB"/>
    <w:rsid w:val="00780267"/>
    <w:rsid w:val="0078043F"/>
    <w:rsid w:val="00787805"/>
    <w:rsid w:val="0079277B"/>
    <w:rsid w:val="007968CA"/>
    <w:rsid w:val="007B09EF"/>
    <w:rsid w:val="007D06D4"/>
    <w:rsid w:val="007D3BD3"/>
    <w:rsid w:val="007E06F1"/>
    <w:rsid w:val="007E1174"/>
    <w:rsid w:val="007E1908"/>
    <w:rsid w:val="007E6372"/>
    <w:rsid w:val="00801C3F"/>
    <w:rsid w:val="0081084C"/>
    <w:rsid w:val="00824099"/>
    <w:rsid w:val="008240C5"/>
    <w:rsid w:val="00831C3E"/>
    <w:rsid w:val="008336C0"/>
    <w:rsid w:val="008355F8"/>
    <w:rsid w:val="00843B1F"/>
    <w:rsid w:val="0085112B"/>
    <w:rsid w:val="008602C0"/>
    <w:rsid w:val="00870555"/>
    <w:rsid w:val="008777FD"/>
    <w:rsid w:val="008A5D33"/>
    <w:rsid w:val="008B6F62"/>
    <w:rsid w:val="008D33D4"/>
    <w:rsid w:val="008E1BB8"/>
    <w:rsid w:val="008F525F"/>
    <w:rsid w:val="0092285D"/>
    <w:rsid w:val="00931935"/>
    <w:rsid w:val="00941569"/>
    <w:rsid w:val="00964BF9"/>
    <w:rsid w:val="009817BA"/>
    <w:rsid w:val="00982D40"/>
    <w:rsid w:val="0098742A"/>
    <w:rsid w:val="00996B55"/>
    <w:rsid w:val="009C6343"/>
    <w:rsid w:val="009F62AB"/>
    <w:rsid w:val="00A119CD"/>
    <w:rsid w:val="00A434AB"/>
    <w:rsid w:val="00A54E97"/>
    <w:rsid w:val="00A5650C"/>
    <w:rsid w:val="00A80E47"/>
    <w:rsid w:val="00A85E00"/>
    <w:rsid w:val="00A94329"/>
    <w:rsid w:val="00A948B9"/>
    <w:rsid w:val="00AA1F71"/>
    <w:rsid w:val="00AA261F"/>
    <w:rsid w:val="00AB6CF5"/>
    <w:rsid w:val="00AC1417"/>
    <w:rsid w:val="00AC6B9F"/>
    <w:rsid w:val="00AE74C3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17C7"/>
    <w:rsid w:val="00B72842"/>
    <w:rsid w:val="00B77D34"/>
    <w:rsid w:val="00B961F5"/>
    <w:rsid w:val="00BA4B20"/>
    <w:rsid w:val="00BA7B46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52D"/>
    <w:rsid w:val="00C655EB"/>
    <w:rsid w:val="00C713FB"/>
    <w:rsid w:val="00C76FF5"/>
    <w:rsid w:val="00C85120"/>
    <w:rsid w:val="00C86C47"/>
    <w:rsid w:val="00CA7E4B"/>
    <w:rsid w:val="00CB2BDF"/>
    <w:rsid w:val="00CD2C78"/>
    <w:rsid w:val="00CD3606"/>
    <w:rsid w:val="00CE02EE"/>
    <w:rsid w:val="00CF6BA8"/>
    <w:rsid w:val="00D35DCF"/>
    <w:rsid w:val="00D50358"/>
    <w:rsid w:val="00D70AE2"/>
    <w:rsid w:val="00D762D0"/>
    <w:rsid w:val="00D82860"/>
    <w:rsid w:val="00D86626"/>
    <w:rsid w:val="00D87EAF"/>
    <w:rsid w:val="00DA3060"/>
    <w:rsid w:val="00DB11F1"/>
    <w:rsid w:val="00DC1438"/>
    <w:rsid w:val="00DC60CE"/>
    <w:rsid w:val="00DD212E"/>
    <w:rsid w:val="00DE0CB9"/>
    <w:rsid w:val="00DE125B"/>
    <w:rsid w:val="00DF0717"/>
    <w:rsid w:val="00DF4C7B"/>
    <w:rsid w:val="00E04E2D"/>
    <w:rsid w:val="00E05F77"/>
    <w:rsid w:val="00E34C6A"/>
    <w:rsid w:val="00E42410"/>
    <w:rsid w:val="00E6142A"/>
    <w:rsid w:val="00E64A27"/>
    <w:rsid w:val="00E72401"/>
    <w:rsid w:val="00E76EBA"/>
    <w:rsid w:val="00E77A78"/>
    <w:rsid w:val="00E811C2"/>
    <w:rsid w:val="00EB0251"/>
    <w:rsid w:val="00EB2AFF"/>
    <w:rsid w:val="00EB7027"/>
    <w:rsid w:val="00EC5D82"/>
    <w:rsid w:val="00EC7E43"/>
    <w:rsid w:val="00ED4FF3"/>
    <w:rsid w:val="00ED5206"/>
    <w:rsid w:val="00EE55C0"/>
    <w:rsid w:val="00F0303C"/>
    <w:rsid w:val="00F0793A"/>
    <w:rsid w:val="00F115A4"/>
    <w:rsid w:val="00F14D52"/>
    <w:rsid w:val="00F60BF1"/>
    <w:rsid w:val="00F6309F"/>
    <w:rsid w:val="00F75D1D"/>
    <w:rsid w:val="00F773ED"/>
    <w:rsid w:val="00F90355"/>
    <w:rsid w:val="00F9496A"/>
    <w:rsid w:val="00FA66E5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3172-2DA0-4B60-99A8-3A932EDA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Пользователь Windows</cp:lastModifiedBy>
  <cp:revision>2</cp:revision>
  <cp:lastPrinted>2021-11-23T06:29:00Z</cp:lastPrinted>
  <dcterms:created xsi:type="dcterms:W3CDTF">2023-02-02T08:32:00Z</dcterms:created>
  <dcterms:modified xsi:type="dcterms:W3CDTF">2023-02-02T08:32:00Z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