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835"/>
      </w:tblGrid>
      <w:tr w:rsidR="00112FD6" w:rsidRPr="00265697" w:rsidTr="001A016F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8533A6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C3EC9" w:rsidRDefault="00112FD6" w:rsidP="001D03B5">
            <w:pPr>
              <w:ind w:left="284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  <w:tc>
          <w:tcPr>
            <w:tcW w:w="83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8533A6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83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A401B3" w:rsidRDefault="00133455" w:rsidP="008533A6">
      <w:pPr>
        <w:tabs>
          <w:tab w:val="left" w:pos="4395"/>
        </w:tabs>
        <w:rPr>
          <w:color w:val="000000" w:themeColor="text1"/>
        </w:rPr>
      </w:pPr>
      <w:r>
        <w:rPr>
          <w:color w:val="000000" w:themeColor="text1"/>
        </w:rPr>
        <w:t xml:space="preserve">Управление </w:t>
      </w:r>
      <w:r w:rsidR="00437229">
        <w:rPr>
          <w:color w:val="000000" w:themeColor="text1"/>
        </w:rPr>
        <w:t>образованием</w:t>
      </w:r>
      <w:r w:rsidR="00A401B3">
        <w:rPr>
          <w:color w:val="000000" w:themeColor="text1"/>
        </w:rPr>
        <w:t xml:space="preserve"> </w:t>
      </w:r>
    </w:p>
    <w:p w:rsidR="00F92985" w:rsidRDefault="00A401B3" w:rsidP="008533A6">
      <w:pPr>
        <w:tabs>
          <w:tab w:val="left" w:pos="4395"/>
        </w:tabs>
        <w:rPr>
          <w:color w:val="000000" w:themeColor="text1"/>
        </w:rPr>
      </w:pPr>
      <w:r>
        <w:rPr>
          <w:color w:val="000000" w:themeColor="text1"/>
        </w:rPr>
        <w:t xml:space="preserve">администрации </w:t>
      </w:r>
      <w:proofErr w:type="gramStart"/>
      <w:r w:rsidR="00F92985">
        <w:rPr>
          <w:color w:val="000000" w:themeColor="text1"/>
        </w:rPr>
        <w:t>муниципального</w:t>
      </w:r>
      <w:proofErr w:type="gramEnd"/>
      <w:r w:rsidR="00F92985">
        <w:rPr>
          <w:color w:val="000000" w:themeColor="text1"/>
        </w:rPr>
        <w:t xml:space="preserve"> образования</w:t>
      </w:r>
    </w:p>
    <w:p w:rsidR="00112FD6" w:rsidRDefault="00F92985" w:rsidP="00112FD6">
      <w:pPr>
        <w:rPr>
          <w:color w:val="000000" w:themeColor="text1"/>
        </w:rPr>
      </w:pPr>
      <w:proofErr w:type="spellStart"/>
      <w:r>
        <w:rPr>
          <w:color w:val="000000" w:themeColor="text1"/>
        </w:rPr>
        <w:t>Усть-Лабинский</w:t>
      </w:r>
      <w:proofErr w:type="spellEnd"/>
      <w:r>
        <w:rPr>
          <w:color w:val="000000" w:themeColor="text1"/>
        </w:rPr>
        <w:t xml:space="preserve"> район</w:t>
      </w:r>
    </w:p>
    <w:p w:rsidR="00F92985" w:rsidRDefault="00F92985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266A74" w:rsidRDefault="00266A74" w:rsidP="00266A74">
      <w:pPr>
        <w:rPr>
          <w:color w:val="000000" w:themeColor="text1"/>
        </w:rPr>
      </w:pPr>
    </w:p>
    <w:p w:rsidR="00266A74" w:rsidRDefault="00266A74" w:rsidP="00266A74">
      <w:pPr>
        <w:rPr>
          <w:color w:val="000000" w:themeColor="text1"/>
        </w:rPr>
      </w:pPr>
    </w:p>
    <w:p w:rsidR="00A401B3" w:rsidRPr="00D91B97" w:rsidRDefault="00A401B3" w:rsidP="00A401B3">
      <w:pPr>
        <w:tabs>
          <w:tab w:val="left" w:pos="3510"/>
        </w:tabs>
        <w:jc w:val="center"/>
        <w:rPr>
          <w:b/>
          <w:szCs w:val="28"/>
        </w:rPr>
      </w:pPr>
      <w:r w:rsidRPr="00D91B97">
        <w:rPr>
          <w:b/>
          <w:szCs w:val="28"/>
        </w:rPr>
        <w:t>Заключение</w:t>
      </w:r>
    </w:p>
    <w:p w:rsidR="00A401B3" w:rsidRPr="00D91B97" w:rsidRDefault="00A401B3" w:rsidP="00A401B3">
      <w:pPr>
        <w:tabs>
          <w:tab w:val="left" w:pos="3510"/>
        </w:tabs>
        <w:jc w:val="center"/>
        <w:rPr>
          <w:szCs w:val="28"/>
        </w:rPr>
      </w:pPr>
      <w:proofErr w:type="gramStart"/>
      <w:r w:rsidRPr="00D91B97">
        <w:rPr>
          <w:szCs w:val="28"/>
        </w:rPr>
        <w:t xml:space="preserve">об оценке регулирующего воздействия проекта </w:t>
      </w:r>
      <w:r>
        <w:rPr>
          <w:szCs w:val="28"/>
        </w:rPr>
        <w:t xml:space="preserve">постановления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133455">
        <w:rPr>
          <w:szCs w:val="28"/>
        </w:rPr>
        <w:t xml:space="preserve">Об утверждении </w:t>
      </w:r>
      <w:r w:rsidR="00437229">
        <w:rPr>
          <w:szCs w:val="28"/>
        </w:rPr>
        <w:t>п</w:t>
      </w:r>
      <w:r w:rsidR="00133455">
        <w:rPr>
          <w:szCs w:val="28"/>
        </w:rPr>
        <w:t>орядка</w:t>
      </w:r>
      <w:r w:rsidR="00437229">
        <w:rPr>
          <w:szCs w:val="28"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муниципального образования </w:t>
      </w:r>
      <w:proofErr w:type="spellStart"/>
      <w:r w:rsidR="00437229">
        <w:rPr>
          <w:szCs w:val="28"/>
        </w:rPr>
        <w:t>Усть-Лабинский</w:t>
      </w:r>
      <w:proofErr w:type="spellEnd"/>
      <w:r w:rsidR="00437229">
        <w:rPr>
          <w:szCs w:val="28"/>
        </w:rPr>
        <w:t xml:space="preserve"> район не осуществляет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</w:t>
      </w:r>
      <w:proofErr w:type="gramEnd"/>
      <w:r w:rsidR="00437229">
        <w:rPr>
          <w:szCs w:val="28"/>
        </w:rPr>
        <w:t xml:space="preserve">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Cs w:val="28"/>
        </w:rPr>
        <w:t xml:space="preserve">» </w:t>
      </w:r>
    </w:p>
    <w:p w:rsidR="00A401B3" w:rsidRPr="00D91B97" w:rsidRDefault="00A401B3" w:rsidP="00A401B3">
      <w:pPr>
        <w:tabs>
          <w:tab w:val="left" w:pos="1620"/>
        </w:tabs>
        <w:jc w:val="both"/>
        <w:rPr>
          <w:szCs w:val="28"/>
        </w:rPr>
      </w:pPr>
    </w:p>
    <w:p w:rsidR="00A401B3" w:rsidRPr="00D91B97" w:rsidRDefault="00A401B3" w:rsidP="00A401B3">
      <w:pPr>
        <w:tabs>
          <w:tab w:val="left" w:pos="709"/>
        </w:tabs>
        <w:jc w:val="both"/>
        <w:rPr>
          <w:szCs w:val="28"/>
        </w:rPr>
      </w:pPr>
      <w:r w:rsidRPr="00D91B97">
        <w:rPr>
          <w:szCs w:val="28"/>
        </w:rPr>
        <w:tab/>
      </w:r>
      <w:proofErr w:type="gramStart"/>
      <w:r w:rsidRPr="00D91B97">
        <w:rPr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 рассмотрело поступивший </w:t>
      </w:r>
      <w:r w:rsidR="00766FD1" w:rsidRPr="00766FD1">
        <w:rPr>
          <w:szCs w:val="28"/>
        </w:rPr>
        <w:t>9 ноября</w:t>
      </w:r>
      <w:r w:rsidRPr="00766FD1">
        <w:rPr>
          <w:szCs w:val="28"/>
        </w:rPr>
        <w:t xml:space="preserve"> 2021 года</w:t>
      </w:r>
      <w:r w:rsidRPr="00D91B97">
        <w:rPr>
          <w:szCs w:val="28"/>
        </w:rPr>
        <w:t xml:space="preserve"> проект </w:t>
      </w:r>
      <w:r>
        <w:rPr>
          <w:szCs w:val="28"/>
        </w:rPr>
        <w:t xml:space="preserve">постановления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0D2166">
        <w:rPr>
          <w:szCs w:val="28"/>
        </w:rPr>
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</w:t>
      </w:r>
      <w:proofErr w:type="gramEnd"/>
      <w:r w:rsidR="000D2166">
        <w:rPr>
          <w:szCs w:val="28"/>
        </w:rPr>
        <w:t xml:space="preserve"> </w:t>
      </w:r>
      <w:proofErr w:type="gramStart"/>
      <w:r w:rsidR="000D2166">
        <w:rPr>
          <w:szCs w:val="28"/>
        </w:rPr>
        <w:t>отношении</w:t>
      </w:r>
      <w:proofErr w:type="gramEnd"/>
      <w:r w:rsidR="000D2166">
        <w:rPr>
          <w:szCs w:val="28"/>
        </w:rPr>
        <w:t xml:space="preserve"> которых администрация муниципального образования </w:t>
      </w:r>
      <w:proofErr w:type="spellStart"/>
      <w:r w:rsidR="000D2166">
        <w:rPr>
          <w:szCs w:val="28"/>
        </w:rPr>
        <w:t>Усть-Лабинский</w:t>
      </w:r>
      <w:proofErr w:type="spellEnd"/>
      <w:r w:rsidR="000D2166">
        <w:rPr>
          <w:szCs w:val="28"/>
        </w:rPr>
        <w:t xml:space="preserve"> район не осуществляет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Cs w:val="28"/>
        </w:rPr>
        <w:t xml:space="preserve">» </w:t>
      </w:r>
      <w:r w:rsidRPr="00D91B97">
        <w:rPr>
          <w:szCs w:val="28"/>
        </w:rPr>
        <w:t xml:space="preserve">(далее – Проект), направленный для подготовки настоящего </w:t>
      </w:r>
      <w:r w:rsidRPr="00D91B97">
        <w:rPr>
          <w:szCs w:val="28"/>
        </w:rPr>
        <w:lastRenderedPageBreak/>
        <w:t xml:space="preserve">Заключения </w:t>
      </w:r>
      <w:r w:rsidR="00372A1E">
        <w:rPr>
          <w:szCs w:val="28"/>
        </w:rPr>
        <w:t xml:space="preserve">управлением </w:t>
      </w:r>
      <w:r w:rsidR="000D2166">
        <w:rPr>
          <w:szCs w:val="28"/>
        </w:rPr>
        <w:t>образованием</w:t>
      </w:r>
      <w:r w:rsidRPr="00D91B97">
        <w:rPr>
          <w:szCs w:val="28"/>
        </w:rPr>
        <w:t xml:space="preserve"> администрации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 (далее – разработчик) и сообщает следующее.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район, утвержденным постановлением администрации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 от 07.12.2018 № 1068 (далее – Порядок), проект подлежит проведению оценки регулирующего воздействия.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Проект содержит положения, имеющие </w:t>
      </w:r>
      <w:r w:rsidR="00BA4337">
        <w:rPr>
          <w:szCs w:val="28"/>
        </w:rPr>
        <w:t>высокую</w:t>
      </w:r>
      <w:r w:rsidRPr="00D91B97">
        <w:rPr>
          <w:szCs w:val="28"/>
        </w:rPr>
        <w:t xml:space="preserve"> степень регулирующего воздействия.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Проект направлен разработчиком для проведения оценки регулирующего воздействия впервые.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proofErr w:type="gramStart"/>
      <w:r w:rsidRPr="00D91B97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proofErr w:type="gramStart"/>
      <w:r w:rsidRPr="0089252F">
        <w:rPr>
          <w:szCs w:val="28"/>
        </w:rPr>
        <w:t xml:space="preserve">Разработчиком предложен один вариант правового регулирования – принятие постановления администрации муниципального образования </w:t>
      </w:r>
      <w:proofErr w:type="spellStart"/>
      <w:r w:rsidRPr="0089252F">
        <w:rPr>
          <w:szCs w:val="28"/>
        </w:rPr>
        <w:t>Усть-Лабинский</w:t>
      </w:r>
      <w:proofErr w:type="spellEnd"/>
      <w:r w:rsidRPr="0089252F">
        <w:rPr>
          <w:szCs w:val="28"/>
        </w:rPr>
        <w:t xml:space="preserve"> район «</w:t>
      </w:r>
      <w:r w:rsidR="00D5653C">
        <w:rPr>
          <w:szCs w:val="28"/>
        </w:rPr>
        <w:t xml:space="preserve"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муниципального образования </w:t>
      </w:r>
      <w:proofErr w:type="spellStart"/>
      <w:r w:rsidR="00D5653C">
        <w:rPr>
          <w:szCs w:val="28"/>
        </w:rPr>
        <w:t>Усть-Лабинский</w:t>
      </w:r>
      <w:proofErr w:type="spellEnd"/>
      <w:r w:rsidR="00D5653C">
        <w:rPr>
          <w:szCs w:val="28"/>
        </w:rPr>
        <w:t xml:space="preserve"> район не осуществляет функции и полномочия учредителя, включенными в реестр исполнителей образовательных услуг в рамках системы персонифицированного финансирования</w:t>
      </w:r>
      <w:proofErr w:type="gramEnd"/>
      <w:r w:rsidR="00D5653C">
        <w:rPr>
          <w:szCs w:val="28"/>
        </w:rPr>
        <w:t>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Cs w:val="28"/>
        </w:rPr>
        <w:t>»</w:t>
      </w:r>
      <w:r w:rsidRPr="00D91B97">
        <w:rPr>
          <w:szCs w:val="28"/>
        </w:rPr>
        <w:t xml:space="preserve">. 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- проблема, на решение которой направлено правовое регулирование, сформирована точно;</w:t>
      </w:r>
    </w:p>
    <w:p w:rsidR="00BB3CA2" w:rsidRPr="00085D18" w:rsidRDefault="00A401B3" w:rsidP="00A401B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85D18">
        <w:rPr>
          <w:szCs w:val="28"/>
        </w:rPr>
        <w:t xml:space="preserve">- определены потенциальные адресаты предлагаемого правового регулирования: </w:t>
      </w:r>
    </w:p>
    <w:p w:rsidR="00BB3CA2" w:rsidRPr="00823796" w:rsidRDefault="00EA1923" w:rsidP="00BB3CA2">
      <w:pPr>
        <w:ind w:firstLine="709"/>
        <w:jc w:val="both"/>
      </w:pPr>
      <w:r w:rsidRPr="00823796">
        <w:rPr>
          <w:color w:val="000000"/>
          <w:szCs w:val="28"/>
        </w:rPr>
        <w:lastRenderedPageBreak/>
        <w:t>-</w:t>
      </w:r>
      <w:r w:rsidR="00054C6E" w:rsidRPr="00823796">
        <w:rPr>
          <w:color w:val="000000"/>
          <w:szCs w:val="28"/>
        </w:rPr>
        <w:t xml:space="preserve"> частные образовательные организации, организации, осуществляющие обучение, индивидуальные предприниматели</w:t>
      </w:r>
      <w:r w:rsidR="00823796" w:rsidRPr="00823796">
        <w:rPr>
          <w:color w:val="000000"/>
          <w:szCs w:val="28"/>
        </w:rPr>
        <w:t>,</w:t>
      </w:r>
      <w:r w:rsidR="00054C6E" w:rsidRPr="00823796">
        <w:rPr>
          <w:color w:val="000000"/>
          <w:szCs w:val="28"/>
        </w:rPr>
        <w:t xml:space="preserve"> включенные в реестр поставщиков образовательных услуг в рамках системы персонифицированного финансирования</w:t>
      </w:r>
      <w:r w:rsidR="00784DAD" w:rsidRPr="00823796">
        <w:rPr>
          <w:color w:val="000000"/>
          <w:szCs w:val="28"/>
        </w:rPr>
        <w:t>.</w:t>
      </w:r>
    </w:p>
    <w:p w:rsidR="009301C7" w:rsidRDefault="009301C7" w:rsidP="009301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E8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054C6E" w:rsidRPr="00DD7AE8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DD7AE8">
        <w:rPr>
          <w:rFonts w:ascii="Times New Roman" w:hAnsi="Times New Roman" w:cs="Times New Roman"/>
          <w:sz w:val="28"/>
          <w:szCs w:val="28"/>
        </w:rPr>
        <w:t xml:space="preserve">субсидии – заявители, прошедшие отбор и заключившие </w:t>
      </w:r>
      <w:r w:rsidR="000C0B7E" w:rsidRPr="00DD7AE8">
        <w:rPr>
          <w:rFonts w:ascii="Times New Roman" w:hAnsi="Times New Roman" w:cs="Times New Roman"/>
          <w:sz w:val="28"/>
          <w:szCs w:val="28"/>
        </w:rPr>
        <w:t xml:space="preserve">рамочное </w:t>
      </w:r>
      <w:r w:rsidRPr="00DD7AE8">
        <w:rPr>
          <w:rFonts w:ascii="Times New Roman" w:hAnsi="Times New Roman" w:cs="Times New Roman"/>
          <w:sz w:val="28"/>
          <w:szCs w:val="28"/>
        </w:rPr>
        <w:t>соглашение о предоставлении</w:t>
      </w:r>
      <w:r w:rsidR="000C0B7E" w:rsidRPr="00DD7AE8">
        <w:rPr>
          <w:rFonts w:ascii="Times New Roman" w:hAnsi="Times New Roman" w:cs="Times New Roman"/>
          <w:sz w:val="28"/>
          <w:szCs w:val="28"/>
        </w:rPr>
        <w:t xml:space="preserve"> грантов в форме</w:t>
      </w:r>
      <w:r w:rsidRPr="00DD7AE8">
        <w:rPr>
          <w:rFonts w:ascii="Times New Roman" w:hAnsi="Times New Roman" w:cs="Times New Roman"/>
          <w:sz w:val="28"/>
          <w:szCs w:val="28"/>
        </w:rPr>
        <w:t xml:space="preserve"> субсидии с уполномоченным органом</w:t>
      </w:r>
      <w:r w:rsidR="000C0B7E" w:rsidRPr="00DD7A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0C0B7E" w:rsidRPr="00DD7AE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C0B7E" w:rsidRPr="00DD7AE8">
        <w:rPr>
          <w:rFonts w:ascii="Times New Roman" w:hAnsi="Times New Roman" w:cs="Times New Roman"/>
          <w:sz w:val="28"/>
          <w:szCs w:val="28"/>
        </w:rPr>
        <w:t xml:space="preserve"> район в лице </w:t>
      </w:r>
      <w:r w:rsidRPr="00DD7AE8">
        <w:rPr>
          <w:rFonts w:ascii="Times New Roman" w:hAnsi="Times New Roman" w:cs="Times New Roman"/>
          <w:sz w:val="28"/>
          <w:szCs w:val="28"/>
        </w:rPr>
        <w:t xml:space="preserve"> </w:t>
      </w:r>
      <w:r w:rsidR="000C0B7E" w:rsidRPr="00DD7AE8">
        <w:rPr>
          <w:rFonts w:ascii="Times New Roman" w:hAnsi="Times New Roman" w:cs="Times New Roman"/>
          <w:sz w:val="28"/>
          <w:szCs w:val="28"/>
        </w:rPr>
        <w:t xml:space="preserve">управления образованием администрации муниципального образования </w:t>
      </w:r>
      <w:proofErr w:type="spellStart"/>
      <w:r w:rsidR="000C0B7E" w:rsidRPr="00DD7AE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C0B7E" w:rsidRPr="00DD7AE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D7AE8">
        <w:rPr>
          <w:rFonts w:ascii="Times New Roman" w:hAnsi="Times New Roman" w:cs="Times New Roman"/>
          <w:sz w:val="28"/>
          <w:szCs w:val="28"/>
        </w:rPr>
        <w:t>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Цель предлагаемого проектом правового регулирования определена объективно.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Срок достижения заявленных целей: </w:t>
      </w:r>
      <w:proofErr w:type="gramStart"/>
      <w:r w:rsidRPr="00D91B97">
        <w:rPr>
          <w:szCs w:val="28"/>
        </w:rPr>
        <w:t>с даты вступления</w:t>
      </w:r>
      <w:proofErr w:type="gramEnd"/>
      <w:r w:rsidRPr="00D91B97">
        <w:rPr>
          <w:szCs w:val="28"/>
        </w:rPr>
        <w:t xml:space="preserve"> в силу проекта </w:t>
      </w:r>
      <w:r>
        <w:rPr>
          <w:szCs w:val="28"/>
        </w:rPr>
        <w:t>постановления</w:t>
      </w:r>
      <w:r w:rsidRPr="00D91B97">
        <w:rPr>
          <w:szCs w:val="28"/>
        </w:rPr>
        <w:t>, в связи с чем, отсутствует необходимость в последующем мониторинге достижения целей.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Дополнительные расходы потенциального адресатов предлагаемого правового регулирования, а также расходов местного бюджета (бюджета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район), связанных с введением предлагаемого правового регулирования, не предполагается. 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Риски введения предлагаемого правового регулирования отсутствуют.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В соответствии с Порядком установлено следующее: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1. Потенциальной группой участников общественных отношений, интересы которых будут затронуты правовым регулированием, являются:</w:t>
      </w:r>
    </w:p>
    <w:p w:rsidR="0050648F" w:rsidRPr="00823796" w:rsidRDefault="000E0418" w:rsidP="0050648F">
      <w:pPr>
        <w:ind w:firstLine="709"/>
        <w:jc w:val="both"/>
      </w:pPr>
      <w:r>
        <w:rPr>
          <w:color w:val="000000"/>
          <w:szCs w:val="28"/>
        </w:rPr>
        <w:t xml:space="preserve">- </w:t>
      </w:r>
      <w:r w:rsidR="0050648F" w:rsidRPr="00823796">
        <w:rPr>
          <w:color w:val="000000"/>
          <w:szCs w:val="28"/>
        </w:rPr>
        <w:t>частные образовательные организации, организации, осуществляющие обучение, индивидуальные предприниматели, включенные в реестр поставщиков образовательных услуг в рамках системы персонифицированного финансирования.</w:t>
      </w:r>
    </w:p>
    <w:p w:rsidR="003017BD" w:rsidRDefault="0050648F" w:rsidP="0050648F">
      <w:pPr>
        <w:ind w:firstLine="709"/>
        <w:jc w:val="both"/>
        <w:rPr>
          <w:szCs w:val="28"/>
        </w:rPr>
      </w:pPr>
      <w:r w:rsidRPr="00DD7AE8">
        <w:rPr>
          <w:szCs w:val="28"/>
        </w:rPr>
        <w:t xml:space="preserve">Получатели грантов в форме субсидии – заявители, прошедшие отбор и заключившие рамочное соглашение о предоставлении грантов в форме субсидии с уполномоченным органом администрации муниципального образования </w:t>
      </w:r>
      <w:proofErr w:type="spellStart"/>
      <w:r w:rsidRPr="00DD7AE8">
        <w:rPr>
          <w:szCs w:val="28"/>
        </w:rPr>
        <w:t>Усть-Лабинский</w:t>
      </w:r>
      <w:proofErr w:type="spellEnd"/>
      <w:r w:rsidRPr="00DD7AE8">
        <w:rPr>
          <w:szCs w:val="28"/>
        </w:rPr>
        <w:t xml:space="preserve"> район в лице  управления образованием администрации муниципального образования </w:t>
      </w:r>
      <w:proofErr w:type="spellStart"/>
      <w:r w:rsidRPr="00DD7AE8">
        <w:rPr>
          <w:szCs w:val="28"/>
        </w:rPr>
        <w:t>Усть-Лабинский</w:t>
      </w:r>
      <w:proofErr w:type="spellEnd"/>
      <w:r w:rsidRPr="00DD7AE8">
        <w:rPr>
          <w:szCs w:val="28"/>
        </w:rPr>
        <w:t xml:space="preserve"> район</w:t>
      </w:r>
      <w:r w:rsidR="0025762B">
        <w:rPr>
          <w:szCs w:val="28"/>
        </w:rPr>
        <w:t>.</w:t>
      </w:r>
      <w:r w:rsidR="00A401B3" w:rsidRPr="00D91B97">
        <w:rPr>
          <w:szCs w:val="28"/>
        </w:rPr>
        <w:tab/>
      </w:r>
    </w:p>
    <w:p w:rsidR="003017BD" w:rsidRDefault="003017BD" w:rsidP="006F63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25762B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– заявители, прошедшие отбор и заключившие </w:t>
      </w:r>
      <w:r w:rsidR="0025762B">
        <w:rPr>
          <w:rFonts w:ascii="Times New Roman" w:hAnsi="Times New Roman" w:cs="Times New Roman"/>
          <w:sz w:val="28"/>
          <w:szCs w:val="28"/>
        </w:rPr>
        <w:t xml:space="preserve">рамочное </w:t>
      </w: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25762B" w:rsidRPr="00DD7AE8">
        <w:rPr>
          <w:rFonts w:ascii="Times New Roman" w:hAnsi="Times New Roman" w:cs="Times New Roman"/>
          <w:sz w:val="28"/>
          <w:szCs w:val="28"/>
        </w:rPr>
        <w:t xml:space="preserve">о предоставлении грантов в форме субсидии с уполномоченным органом администрации муниципального образования </w:t>
      </w:r>
      <w:proofErr w:type="spellStart"/>
      <w:r w:rsidR="0025762B" w:rsidRPr="00DD7AE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5762B" w:rsidRPr="00DD7AE8">
        <w:rPr>
          <w:rFonts w:ascii="Times New Roman" w:hAnsi="Times New Roman" w:cs="Times New Roman"/>
          <w:sz w:val="28"/>
          <w:szCs w:val="28"/>
        </w:rPr>
        <w:t xml:space="preserve"> район в лице  управления образованием администрации муниципального образования </w:t>
      </w:r>
      <w:proofErr w:type="spellStart"/>
      <w:r w:rsidR="0025762B" w:rsidRPr="00DD7AE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5762B" w:rsidRPr="00DD7AE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603" w:rsidRDefault="00160603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Проектом предусмотрено предоставление субсидии из местного бюджета в рамках муниципальной программы «Развитие образования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Усть-Лабинском</w:t>
      </w:r>
      <w:proofErr w:type="gramEnd"/>
      <w:r>
        <w:rPr>
          <w:szCs w:val="28"/>
        </w:rPr>
        <w:t xml:space="preserve"> районе», утвержденной постановлением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30.10.2019 № 847.</w:t>
      </w:r>
    </w:p>
    <w:p w:rsidR="0013000E" w:rsidRDefault="00A401B3" w:rsidP="0013000E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r w:rsidRPr="00D10349">
        <w:rPr>
          <w:szCs w:val="28"/>
        </w:rPr>
        <w:t>2. Проблема, на решение которой направлено правовое регулирование, заключается в</w:t>
      </w:r>
      <w:r w:rsidR="0013000E">
        <w:rPr>
          <w:szCs w:val="28"/>
        </w:rPr>
        <w:t xml:space="preserve"> отсутствии возможности обеспечения доступности и вариативности выбора образовательных услуг дополнительного образования для детей в рамках персонифицированного финансирования.</w:t>
      </w:r>
    </w:p>
    <w:p w:rsidR="0013000E" w:rsidRDefault="0013000E" w:rsidP="001300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proofErr w:type="gramStart"/>
      <w:r>
        <w:rPr>
          <w:szCs w:val="28"/>
        </w:rPr>
        <w:t>Учитывая развитие системы дополнительного образования сегодня является приоритетным условием развития общества и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года.</w:t>
      </w:r>
      <w:proofErr w:type="gramEnd"/>
    </w:p>
    <w:p w:rsidR="006D401B" w:rsidRDefault="008D1C3A" w:rsidP="001300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2C0503">
        <w:rPr>
          <w:szCs w:val="28"/>
        </w:rPr>
        <w:t xml:space="preserve">Система персонифицированного финансирования дополнительного образования предусматривает, что родитель или законный представитель ребенка в возрасте от </w:t>
      </w:r>
      <w:r w:rsidR="00E525F9">
        <w:rPr>
          <w:szCs w:val="28"/>
        </w:rPr>
        <w:t>1</w:t>
      </w:r>
      <w:r w:rsidR="002C0503">
        <w:rPr>
          <w:szCs w:val="28"/>
        </w:rPr>
        <w:t xml:space="preserve"> до </w:t>
      </w:r>
      <w:r w:rsidR="00E525F9">
        <w:rPr>
          <w:szCs w:val="28"/>
        </w:rPr>
        <w:t>18 лет</w:t>
      </w:r>
      <w:r w:rsidR="002C0503">
        <w:rPr>
          <w:szCs w:val="28"/>
        </w:rPr>
        <w:t xml:space="preserve"> вправе свободно выбрать</w:t>
      </w:r>
      <w:r>
        <w:rPr>
          <w:szCs w:val="28"/>
        </w:rPr>
        <w:t xml:space="preserve"> для своего ребенка программу дополнительного образования в системе «Автоматизированная информационная система Краснодарского края «Навигатор дополнительного образования детей Краснодарского края» у любого поставщика, включенного в реестр поставщиков образовательных услуг в рамках системы персонифицированного финансирования.</w:t>
      </w:r>
      <w:proofErr w:type="gramEnd"/>
    </w:p>
    <w:p w:rsidR="006D401B" w:rsidRDefault="000E0418" w:rsidP="001300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6D401B">
        <w:rPr>
          <w:szCs w:val="28"/>
        </w:rPr>
        <w:t xml:space="preserve">Внедрение системы персонифицированного финансирования дополнительного образования детей осуществляется в целях обеспечения равной доступности качественного дополнительного образования </w:t>
      </w:r>
      <w:proofErr w:type="gramStart"/>
      <w:r w:rsidR="006D401B">
        <w:rPr>
          <w:szCs w:val="28"/>
        </w:rPr>
        <w:t>в</w:t>
      </w:r>
      <w:proofErr w:type="gramEnd"/>
      <w:r w:rsidR="006D401B">
        <w:rPr>
          <w:szCs w:val="28"/>
        </w:rPr>
        <w:t xml:space="preserve"> </w:t>
      </w:r>
      <w:proofErr w:type="gramStart"/>
      <w:r w:rsidR="006D401B">
        <w:rPr>
          <w:szCs w:val="28"/>
        </w:rPr>
        <w:t>Усть-Лабинском</w:t>
      </w:r>
      <w:proofErr w:type="gramEnd"/>
      <w:r w:rsidR="006D401B">
        <w:rPr>
          <w:szCs w:val="28"/>
        </w:rPr>
        <w:t xml:space="preserve"> районе, свободы выбора образовательных программ.</w:t>
      </w:r>
    </w:p>
    <w:p w:rsidR="007B5D59" w:rsidRDefault="006D401B" w:rsidP="001300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Принятие проекта постановления позволит повысить качество программ дополнительного образования детей на территории </w:t>
      </w:r>
      <w:proofErr w:type="spellStart"/>
      <w:r>
        <w:rPr>
          <w:szCs w:val="28"/>
        </w:rPr>
        <w:t>Усть-Лабинского</w:t>
      </w:r>
      <w:proofErr w:type="spellEnd"/>
      <w:r>
        <w:rPr>
          <w:szCs w:val="28"/>
        </w:rPr>
        <w:t xml:space="preserve"> района путем регламентации порядка предоставления грантов в форме субсидии из средств местного бюджета.</w:t>
      </w:r>
    </w:p>
    <w:p w:rsidR="00926292" w:rsidRDefault="007B5D59" w:rsidP="001300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Таким образом, вариант решения проблемы, предложенный регулирующим органом (</w:t>
      </w:r>
      <w:r w:rsidR="00F04A00">
        <w:rPr>
          <w:szCs w:val="28"/>
        </w:rPr>
        <w:t>принятие проекта постановления) является наиболее предпочтительным.</w:t>
      </w:r>
      <w:r w:rsidR="006D401B">
        <w:rPr>
          <w:szCs w:val="28"/>
        </w:rPr>
        <w:t xml:space="preserve"> </w:t>
      </w:r>
      <w:r w:rsidR="0013000E">
        <w:rPr>
          <w:szCs w:val="28"/>
        </w:rPr>
        <w:t xml:space="preserve"> </w:t>
      </w:r>
      <w:r w:rsidR="00A401B3" w:rsidRPr="00D10349">
        <w:rPr>
          <w:szCs w:val="28"/>
        </w:rPr>
        <w:t xml:space="preserve"> </w:t>
      </w:r>
    </w:p>
    <w:p w:rsidR="00A401B3" w:rsidRPr="004936A8" w:rsidRDefault="00A401B3" w:rsidP="00A401B3">
      <w:pPr>
        <w:tabs>
          <w:tab w:val="left" w:pos="851"/>
        </w:tabs>
        <w:jc w:val="both"/>
        <w:rPr>
          <w:szCs w:val="28"/>
        </w:rPr>
      </w:pPr>
      <w:r w:rsidRPr="00B91D6A">
        <w:rPr>
          <w:color w:val="FF0000"/>
          <w:szCs w:val="28"/>
        </w:rPr>
        <w:tab/>
      </w:r>
      <w:r w:rsidRPr="004936A8">
        <w:rPr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401B3" w:rsidRPr="00174AF9" w:rsidRDefault="00A401B3" w:rsidP="00A401B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74AF9">
        <w:rPr>
          <w:szCs w:val="28"/>
        </w:rPr>
        <w:t xml:space="preserve">3. Цель предлагаемого правового регулирования </w:t>
      </w:r>
      <w:r w:rsidR="006265E0">
        <w:rPr>
          <w:szCs w:val="28"/>
        </w:rPr>
        <w:t xml:space="preserve">– Проект определяет </w:t>
      </w:r>
      <w:r w:rsidR="00FC0C4D">
        <w:rPr>
          <w:szCs w:val="28"/>
        </w:rPr>
        <w:t xml:space="preserve">цели, условия и порядок предоставления грантов в форме субсидии исполнителям услуг, требования к отчетности, требования об осуществлении </w:t>
      </w:r>
      <w:proofErr w:type="gramStart"/>
      <w:r w:rsidR="00FC0C4D">
        <w:rPr>
          <w:szCs w:val="28"/>
        </w:rPr>
        <w:t>контроля за</w:t>
      </w:r>
      <w:proofErr w:type="gramEnd"/>
      <w:r w:rsidR="00FC0C4D">
        <w:rPr>
          <w:szCs w:val="28"/>
        </w:rPr>
        <w:t xml:space="preserve"> соблюдением условий, целей и порядка предоставления грантов в форме субсидии исполнителями услуг и ответственности за их нарушения</w:t>
      </w:r>
      <w:r w:rsidR="006265E0">
        <w:rPr>
          <w:szCs w:val="28"/>
        </w:rPr>
        <w:t>.</w:t>
      </w:r>
    </w:p>
    <w:p w:rsidR="00A401B3" w:rsidRPr="00A5279E" w:rsidRDefault="00A401B3" w:rsidP="00A401B3">
      <w:pPr>
        <w:tabs>
          <w:tab w:val="left" w:pos="851"/>
        </w:tabs>
        <w:jc w:val="both"/>
        <w:rPr>
          <w:szCs w:val="28"/>
        </w:rPr>
      </w:pPr>
      <w:r w:rsidRPr="00B91D6A">
        <w:rPr>
          <w:color w:val="FF0000"/>
          <w:szCs w:val="28"/>
        </w:rPr>
        <w:tab/>
      </w:r>
      <w:r w:rsidRPr="00A5279E">
        <w:rPr>
          <w:szCs w:val="28"/>
        </w:rPr>
        <w:t xml:space="preserve">4. Проект предусматривает положения, которые </w:t>
      </w:r>
      <w:r w:rsidR="006265E0">
        <w:rPr>
          <w:szCs w:val="28"/>
        </w:rPr>
        <w:t>устанавливают</w:t>
      </w:r>
      <w:r w:rsidRPr="00A5279E">
        <w:rPr>
          <w:szCs w:val="28"/>
        </w:rPr>
        <w:t xml:space="preserve"> </w:t>
      </w:r>
      <w:r w:rsidR="006265E0">
        <w:rPr>
          <w:szCs w:val="28"/>
        </w:rPr>
        <w:t xml:space="preserve">права и обязанности </w:t>
      </w:r>
      <w:r w:rsidRPr="00A5279E">
        <w:rPr>
          <w:szCs w:val="28"/>
        </w:rPr>
        <w:t xml:space="preserve">для </w:t>
      </w:r>
      <w:r w:rsidR="006265E0">
        <w:rPr>
          <w:szCs w:val="28"/>
        </w:rPr>
        <w:t>потенциальных адресатов предлагаемого правового регулирования</w:t>
      </w:r>
      <w:r w:rsidRPr="00A5279E">
        <w:rPr>
          <w:szCs w:val="28"/>
        </w:rPr>
        <w:t xml:space="preserve">. </w:t>
      </w:r>
    </w:p>
    <w:p w:rsidR="00A401B3" w:rsidRPr="00DB746E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r w:rsidRPr="00DB746E">
        <w:rPr>
          <w:szCs w:val="28"/>
        </w:rPr>
        <w:t xml:space="preserve">5. 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DB746E">
        <w:rPr>
          <w:szCs w:val="28"/>
        </w:rPr>
        <w:t>Усть-Лабинский</w:t>
      </w:r>
      <w:proofErr w:type="spellEnd"/>
      <w:r w:rsidRPr="00DB746E">
        <w:rPr>
          <w:szCs w:val="28"/>
        </w:rPr>
        <w:t xml:space="preserve"> район </w:t>
      </w:r>
      <w:r w:rsidR="00CA3261">
        <w:rPr>
          <w:szCs w:val="28"/>
        </w:rPr>
        <w:t>отсутствуют.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CA3261">
        <w:rPr>
          <w:szCs w:val="28"/>
        </w:rPr>
        <w:t xml:space="preserve">6. Дополнительные расходы местного бюджета (бюджета муниципального образования </w:t>
      </w:r>
      <w:proofErr w:type="spellStart"/>
      <w:r w:rsidRPr="00CA3261">
        <w:rPr>
          <w:szCs w:val="28"/>
        </w:rPr>
        <w:t>Усть-Лабинский</w:t>
      </w:r>
      <w:proofErr w:type="spellEnd"/>
      <w:r w:rsidRPr="00CA3261">
        <w:rPr>
          <w:szCs w:val="28"/>
        </w:rPr>
        <w:t xml:space="preserve"> район), понесенные от регулирующего воздействия предлагаемого проекта муниципального </w:t>
      </w:r>
      <w:r w:rsidRPr="00CA3261">
        <w:rPr>
          <w:szCs w:val="28"/>
        </w:rPr>
        <w:lastRenderedPageBreak/>
        <w:t>нормативного пр</w:t>
      </w:r>
      <w:r w:rsidR="006225E0">
        <w:rPr>
          <w:szCs w:val="28"/>
        </w:rPr>
        <w:t>авового акта, не предполагаются, за исключение субсидий в пределах бюджетных ассигнований.</w:t>
      </w:r>
    </w:p>
    <w:p w:rsidR="00BF0D40" w:rsidRPr="00DA4075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tab/>
      </w:r>
      <w:r w:rsidR="00E25396" w:rsidRPr="00DA4075">
        <w:rPr>
          <w:szCs w:val="28"/>
        </w:rPr>
        <w:t>Р</w:t>
      </w:r>
      <w:r w:rsidRPr="00DA4075">
        <w:rPr>
          <w:szCs w:val="28"/>
        </w:rPr>
        <w:t>асходы потенциальных адресатов предлагаемого пра</w:t>
      </w:r>
      <w:r w:rsidR="00E25396" w:rsidRPr="00DA4075">
        <w:rPr>
          <w:szCs w:val="28"/>
        </w:rPr>
        <w:t xml:space="preserve">вового регулирования предполагаются в виде </w:t>
      </w:r>
      <w:r w:rsidR="00BC46AE" w:rsidRPr="00DA4075">
        <w:rPr>
          <w:szCs w:val="28"/>
        </w:rPr>
        <w:t xml:space="preserve">информационных издержек на </w:t>
      </w:r>
      <w:r w:rsidR="004D289B">
        <w:rPr>
          <w:szCs w:val="28"/>
        </w:rPr>
        <w:t xml:space="preserve">сбор, </w:t>
      </w:r>
      <w:r w:rsidR="00BC46AE" w:rsidRPr="00DA4075">
        <w:rPr>
          <w:szCs w:val="28"/>
        </w:rPr>
        <w:t xml:space="preserve">подготовку и представление необходимых документов </w:t>
      </w:r>
      <w:r w:rsidR="004D289B">
        <w:rPr>
          <w:szCs w:val="28"/>
        </w:rPr>
        <w:t xml:space="preserve">на получение гранта в форме субсидии, </w:t>
      </w:r>
      <w:r w:rsidR="00BF0D40" w:rsidRPr="00DA4075">
        <w:rPr>
          <w:szCs w:val="28"/>
        </w:rPr>
        <w:t xml:space="preserve">в размере примерно </w:t>
      </w:r>
      <w:r w:rsidR="00B83FCC" w:rsidRPr="00B83FCC">
        <w:rPr>
          <w:szCs w:val="28"/>
        </w:rPr>
        <w:t>40,91</w:t>
      </w:r>
      <w:r w:rsidR="00244DEE">
        <w:rPr>
          <w:szCs w:val="28"/>
        </w:rPr>
        <w:t xml:space="preserve"> рублей</w:t>
      </w:r>
      <w:r w:rsidR="00BF0D40" w:rsidRPr="00DA4075">
        <w:rPr>
          <w:szCs w:val="28"/>
        </w:rPr>
        <w:t>.</w:t>
      </w:r>
    </w:p>
    <w:p w:rsidR="00BF0D40" w:rsidRPr="00A1445C" w:rsidRDefault="00BF0D40" w:rsidP="00BF0D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</w:t>
      </w:r>
      <w:r w:rsidR="0054380A">
        <w:rPr>
          <w:rFonts w:ascii="Times New Roman" w:hAnsi="Times New Roman" w:cs="Times New Roman"/>
          <w:sz w:val="28"/>
          <w:szCs w:val="28"/>
        </w:rPr>
        <w:t>едерации от 22 сентября 2015 года</w:t>
      </w:r>
      <w:r w:rsidRPr="00A1445C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BF0D40" w:rsidRPr="00A1445C" w:rsidRDefault="00BF0D40" w:rsidP="00BF0D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A67664" w:rsidRDefault="0054380A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BF0D40" w:rsidRPr="00A1445C">
        <w:rPr>
          <w:szCs w:val="28"/>
        </w:rPr>
        <w:t>название требования:</w:t>
      </w:r>
      <w:r>
        <w:rPr>
          <w:szCs w:val="28"/>
        </w:rPr>
        <w:t xml:space="preserve"> </w:t>
      </w:r>
      <w:r w:rsidR="00A67664">
        <w:rPr>
          <w:szCs w:val="28"/>
        </w:rPr>
        <w:t>подача заявления и пакета документов о предоставлении субсидии;</w:t>
      </w:r>
    </w:p>
    <w:p w:rsidR="0054380A" w:rsidRDefault="00A67664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тип требования: предоставление информации;</w:t>
      </w:r>
    </w:p>
    <w:p w:rsidR="00A67664" w:rsidRDefault="00A67664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раздел требования: </w:t>
      </w:r>
      <w:proofErr w:type="gramStart"/>
      <w:r>
        <w:rPr>
          <w:szCs w:val="28"/>
        </w:rPr>
        <w:t>информационное</w:t>
      </w:r>
      <w:proofErr w:type="gramEnd"/>
      <w:r>
        <w:rPr>
          <w:szCs w:val="28"/>
        </w:rPr>
        <w:t>;</w:t>
      </w:r>
    </w:p>
    <w:p w:rsidR="00A67664" w:rsidRDefault="00A67664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157B6">
        <w:rPr>
          <w:szCs w:val="28"/>
        </w:rPr>
        <w:t>информационный элемент: подача заявления и пакета документов о предоставлении субсидии;</w:t>
      </w:r>
    </w:p>
    <w:p w:rsidR="000157B6" w:rsidRDefault="000157B6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тип элемента: внутренние документы для хранения/передачи органам власти;</w:t>
      </w:r>
    </w:p>
    <w:p w:rsidR="000157B6" w:rsidRDefault="000157B6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масштаб: число заявок – 1 ед.;</w:t>
      </w:r>
    </w:p>
    <w:p w:rsidR="000157B6" w:rsidRDefault="000157B6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частота: 1 ед.;</w:t>
      </w:r>
    </w:p>
    <w:p w:rsidR="000157B6" w:rsidRDefault="000157B6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Действия: подача документа (пакета документов) в уполномоченный орган – 0,</w:t>
      </w:r>
      <w:r w:rsidR="00D22150">
        <w:rPr>
          <w:szCs w:val="28"/>
        </w:rPr>
        <w:t>20</w:t>
      </w:r>
      <w:r>
        <w:rPr>
          <w:szCs w:val="28"/>
        </w:rPr>
        <w:t xml:space="preserve"> чел./часов.</w:t>
      </w:r>
    </w:p>
    <w:p w:rsidR="000157B6" w:rsidRDefault="000157B6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Список приобретений: нет</w:t>
      </w:r>
    </w:p>
    <w:p w:rsidR="000157B6" w:rsidRDefault="008B7880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Среднемесячная заработная плата работников крупных и средних организаций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по состоянию на 1 </w:t>
      </w:r>
      <w:r w:rsidR="00D22150">
        <w:rPr>
          <w:szCs w:val="28"/>
        </w:rPr>
        <w:t>августа</w:t>
      </w:r>
      <w:r>
        <w:rPr>
          <w:szCs w:val="28"/>
        </w:rPr>
        <w:t xml:space="preserve"> 2021 года согласно данным органов статистики составляет 3</w:t>
      </w:r>
      <w:r w:rsidR="00D22150">
        <w:rPr>
          <w:szCs w:val="28"/>
        </w:rPr>
        <w:t>4 368</w:t>
      </w:r>
      <w:r>
        <w:rPr>
          <w:szCs w:val="28"/>
        </w:rPr>
        <w:t xml:space="preserve"> рублей.</w:t>
      </w:r>
    </w:p>
    <w:p w:rsidR="008B7880" w:rsidRDefault="008B7880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Средняя стоимость часа работы: </w:t>
      </w:r>
      <w:r w:rsidR="00D22150">
        <w:rPr>
          <w:szCs w:val="28"/>
        </w:rPr>
        <w:t>204</w:t>
      </w:r>
      <w:r>
        <w:rPr>
          <w:szCs w:val="28"/>
        </w:rPr>
        <w:t>,</w:t>
      </w:r>
      <w:r w:rsidR="00D22150">
        <w:rPr>
          <w:szCs w:val="28"/>
        </w:rPr>
        <w:t>57</w:t>
      </w:r>
      <w:r>
        <w:rPr>
          <w:szCs w:val="28"/>
        </w:rPr>
        <w:t xml:space="preserve"> рублей.</w:t>
      </w:r>
    </w:p>
    <w:p w:rsidR="008B7880" w:rsidRDefault="008B7880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Общая стоимость требования: </w:t>
      </w:r>
      <w:r w:rsidR="00D22150">
        <w:rPr>
          <w:szCs w:val="28"/>
        </w:rPr>
        <w:t>40</w:t>
      </w:r>
      <w:r>
        <w:rPr>
          <w:szCs w:val="28"/>
        </w:rPr>
        <w:t>,</w:t>
      </w:r>
      <w:r w:rsidR="00D22150">
        <w:rPr>
          <w:szCs w:val="28"/>
        </w:rPr>
        <w:t>91</w:t>
      </w:r>
      <w:r>
        <w:rPr>
          <w:szCs w:val="28"/>
        </w:rPr>
        <w:t xml:space="preserve"> рублей. </w:t>
      </w:r>
    </w:p>
    <w:p w:rsidR="0097001E" w:rsidRDefault="0097001E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Необоснованные расходы, связанные с регулирующим воздействием проекта отсутствуют.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tab/>
        <w:t xml:space="preserve">7. В соответствии с Порядком уполномоченный орган провел публичные консультации по проекту в период с </w:t>
      </w:r>
      <w:r w:rsidR="00260929">
        <w:rPr>
          <w:szCs w:val="28"/>
        </w:rPr>
        <w:t>9 ноября</w:t>
      </w:r>
      <w:r w:rsidRPr="00CA3261">
        <w:rPr>
          <w:szCs w:val="28"/>
        </w:rPr>
        <w:t xml:space="preserve"> 2021 года по </w:t>
      </w:r>
      <w:r w:rsidR="00260929">
        <w:rPr>
          <w:szCs w:val="28"/>
        </w:rPr>
        <w:t>22 ноября</w:t>
      </w:r>
      <w:r w:rsidRPr="00CA3261">
        <w:rPr>
          <w:szCs w:val="28"/>
        </w:rPr>
        <w:t xml:space="preserve"> 2021 года.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tab/>
        <w:t xml:space="preserve">8. Информация о проводимых публичных консультациях была размещена на официальном сайте администрации </w:t>
      </w:r>
      <w:proofErr w:type="gramStart"/>
      <w:r w:rsidRPr="00CA3261">
        <w:rPr>
          <w:szCs w:val="28"/>
        </w:rPr>
        <w:t>муниципального</w:t>
      </w:r>
      <w:proofErr w:type="gramEnd"/>
      <w:r w:rsidRPr="00CA3261">
        <w:rPr>
          <w:szCs w:val="28"/>
        </w:rPr>
        <w:t xml:space="preserve"> образования </w:t>
      </w:r>
      <w:proofErr w:type="spellStart"/>
      <w:r w:rsidRPr="00CA3261">
        <w:rPr>
          <w:szCs w:val="28"/>
        </w:rPr>
        <w:t>Усть-Лабинский</w:t>
      </w:r>
      <w:proofErr w:type="spellEnd"/>
      <w:r w:rsidRPr="00CA3261">
        <w:rPr>
          <w:szCs w:val="28"/>
        </w:rPr>
        <w:t xml:space="preserve"> район (</w:t>
      </w:r>
      <w:hyperlink r:id="rId7" w:history="1">
        <w:r w:rsidRPr="00CA3261">
          <w:rPr>
            <w:rStyle w:val="a3"/>
            <w:color w:val="auto"/>
            <w:szCs w:val="28"/>
          </w:rPr>
          <w:t>http://www.adminustlabinsk.ru/</w:t>
        </w:r>
      </w:hyperlink>
      <w:r w:rsidRPr="00CA3261">
        <w:rPr>
          <w:szCs w:val="28"/>
        </w:rPr>
        <w:t>).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tab/>
      </w:r>
      <w:proofErr w:type="gramStart"/>
      <w:r w:rsidRPr="00CA3261">
        <w:rPr>
          <w:szCs w:val="28"/>
        </w:rPr>
        <w:t>Кроме того, проект направлялся члену Бюро по защите прав предпринимателей и инвесторов ККО «ОПОРА РОССИИ» Новиковой Ю.А., председателю НП «</w:t>
      </w:r>
      <w:proofErr w:type="spellStart"/>
      <w:r w:rsidRPr="00CA3261">
        <w:rPr>
          <w:szCs w:val="28"/>
        </w:rPr>
        <w:t>Усть-Лабинские</w:t>
      </w:r>
      <w:proofErr w:type="spellEnd"/>
      <w:r w:rsidRPr="00CA3261">
        <w:rPr>
          <w:szCs w:val="28"/>
        </w:rPr>
        <w:t xml:space="preserve"> фермеры» Якунину В.М., председателю Союза «</w:t>
      </w:r>
      <w:proofErr w:type="spellStart"/>
      <w:r w:rsidRPr="00CA3261">
        <w:rPr>
          <w:szCs w:val="28"/>
        </w:rPr>
        <w:t>Усть-Лабинская</w:t>
      </w:r>
      <w:proofErr w:type="spellEnd"/>
      <w:r w:rsidRPr="00CA3261">
        <w:rPr>
          <w:szCs w:val="28"/>
        </w:rPr>
        <w:t xml:space="preserve"> торгово-промышленная палата» Долгову С.Ю., </w:t>
      </w:r>
      <w:r w:rsidRPr="00CA3261">
        <w:rPr>
          <w:szCs w:val="28"/>
        </w:rPr>
        <w:lastRenderedPageBreak/>
        <w:t>общественному представителю Уполномоченного по защите прав предпринимателей в Краснодарском крае в Усть-Лабинском районе И.Н. Бондаренко, Косач А.С., заместителю председателя по правовым вопросам СПК «СК «Родина</w:t>
      </w:r>
      <w:proofErr w:type="gramEnd"/>
      <w:r w:rsidRPr="00CA3261">
        <w:rPr>
          <w:szCs w:val="28"/>
        </w:rPr>
        <w:t xml:space="preserve">» </w:t>
      </w:r>
      <w:proofErr w:type="gramStart"/>
      <w:r w:rsidRPr="00CA3261">
        <w:rPr>
          <w:szCs w:val="28"/>
        </w:rPr>
        <w:t xml:space="preserve">Макееву Д.М., заместителю председателя СПК (колхоз) «Восток» Короленко С.А.,   директору ООО «Фонтан» </w:t>
      </w:r>
      <w:proofErr w:type="spellStart"/>
      <w:r w:rsidRPr="00CA3261">
        <w:rPr>
          <w:szCs w:val="28"/>
        </w:rPr>
        <w:t>Поддубной</w:t>
      </w:r>
      <w:proofErr w:type="spellEnd"/>
      <w:r w:rsidRPr="00CA3261">
        <w:rPr>
          <w:szCs w:val="28"/>
        </w:rPr>
        <w:t xml:space="preserve"> О.Г., индивидуальному предпринимателю </w:t>
      </w:r>
      <w:proofErr w:type="spellStart"/>
      <w:r w:rsidRPr="00CA3261">
        <w:rPr>
          <w:szCs w:val="28"/>
        </w:rPr>
        <w:t>Овеченко</w:t>
      </w:r>
      <w:proofErr w:type="spellEnd"/>
      <w:r w:rsidRPr="00CA3261">
        <w:rPr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Pr="00CA3261">
        <w:rPr>
          <w:szCs w:val="28"/>
        </w:rPr>
        <w:t>Грущенко</w:t>
      </w:r>
      <w:proofErr w:type="spellEnd"/>
      <w:r w:rsidRPr="00CA3261">
        <w:rPr>
          <w:szCs w:val="28"/>
        </w:rPr>
        <w:t xml:space="preserve"> Л.П., главе КФХ Шубину С.П., главе КФХ </w:t>
      </w:r>
      <w:proofErr w:type="spellStart"/>
      <w:r w:rsidRPr="00CA3261">
        <w:rPr>
          <w:szCs w:val="28"/>
        </w:rPr>
        <w:t>Горшукову</w:t>
      </w:r>
      <w:proofErr w:type="spellEnd"/>
      <w:r w:rsidRPr="00CA3261">
        <w:rPr>
          <w:szCs w:val="28"/>
        </w:rPr>
        <w:t xml:space="preserve"> М.С., индивидуальному предпринимателю </w:t>
      </w:r>
      <w:proofErr w:type="spellStart"/>
      <w:r w:rsidRPr="00CA3261">
        <w:rPr>
          <w:szCs w:val="28"/>
        </w:rPr>
        <w:t>Рылиной</w:t>
      </w:r>
      <w:proofErr w:type="spellEnd"/>
      <w:r w:rsidRPr="00CA3261">
        <w:rPr>
          <w:szCs w:val="28"/>
        </w:rPr>
        <w:t xml:space="preserve"> Н.В. с которыми заключены соглашения о взаимодействии при проведении оценки регулирующего воздействия.  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10. </w:t>
      </w:r>
      <w:proofErr w:type="gramStart"/>
      <w:r w:rsidR="00EF1737">
        <w:rPr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EF1737">
        <w:rPr>
          <w:szCs w:val="28"/>
        </w:rPr>
        <w:t>Усть-Лабинский</w:t>
      </w:r>
      <w:proofErr w:type="spellEnd"/>
      <w:r w:rsidR="00EF1737">
        <w:rPr>
          <w:szCs w:val="28"/>
        </w:rPr>
        <w:t xml:space="preserve">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EF1737">
        <w:rPr>
          <w:szCs w:val="28"/>
        </w:rPr>
        <w:t>Усть-Лабинский</w:t>
      </w:r>
      <w:proofErr w:type="spellEnd"/>
      <w:r w:rsidR="00EF1737">
        <w:rPr>
          <w:szCs w:val="28"/>
        </w:rPr>
        <w:t xml:space="preserve"> район), и о возможности его дальнейшего согласования</w:t>
      </w:r>
      <w:r w:rsidRPr="00D91B97">
        <w:rPr>
          <w:szCs w:val="28"/>
        </w:rPr>
        <w:t xml:space="preserve">. 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</w:p>
    <w:p w:rsidR="00491355" w:rsidRPr="00E76154" w:rsidRDefault="00491355" w:rsidP="00491355">
      <w:pPr>
        <w:ind w:right="68" w:firstLine="709"/>
        <w:jc w:val="both"/>
        <w:rPr>
          <w:szCs w:val="36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B362DA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362DA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r>
              <w:rPr>
                <w:szCs w:val="28"/>
              </w:rPr>
              <w:t xml:space="preserve">Н.В. </w:t>
            </w:r>
            <w:proofErr w:type="spellStart"/>
            <w:r>
              <w:rPr>
                <w:szCs w:val="28"/>
              </w:rPr>
              <w:t>Гаценко</w:t>
            </w:r>
            <w:proofErr w:type="spellEnd"/>
          </w:p>
        </w:tc>
      </w:tr>
    </w:tbl>
    <w:p w:rsidR="008610CB" w:rsidRDefault="008610CB"/>
    <w:p w:rsidR="008610CB" w:rsidRDefault="008610CB"/>
    <w:p w:rsidR="008610CB" w:rsidRDefault="008610CB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8610CB" w:rsidRDefault="008610CB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>
        <w:rPr>
          <w:sz w:val="22"/>
          <w:szCs w:val="22"/>
        </w:rPr>
        <w:t>8</w:t>
      </w:r>
      <w:r w:rsidRPr="00E222D7">
        <w:rPr>
          <w:sz w:val="22"/>
          <w:szCs w:val="22"/>
        </w:rPr>
        <w:t>-</w:t>
      </w:r>
      <w:r>
        <w:rPr>
          <w:sz w:val="22"/>
          <w:szCs w:val="22"/>
        </w:rPr>
        <w:t>68</w:t>
      </w:r>
    </w:p>
    <w:sectPr w:rsidR="00E026E6" w:rsidRPr="00686F13" w:rsidSect="008758E0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91" w:rsidRDefault="001C5191" w:rsidP="00112FD6">
      <w:r>
        <w:separator/>
      </w:r>
    </w:p>
  </w:endnote>
  <w:endnote w:type="continuationSeparator" w:id="0">
    <w:p w:rsidR="001C5191" w:rsidRDefault="001C5191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91" w:rsidRDefault="001C5191" w:rsidP="00112FD6">
      <w:r>
        <w:separator/>
      </w:r>
    </w:p>
  </w:footnote>
  <w:footnote w:type="continuationSeparator" w:id="0">
    <w:p w:rsidR="001C5191" w:rsidRDefault="001C5191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699871090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306C"/>
    <w:rsid w:val="000039AB"/>
    <w:rsid w:val="000039EA"/>
    <w:rsid w:val="0000567D"/>
    <w:rsid w:val="000157B6"/>
    <w:rsid w:val="0002066E"/>
    <w:rsid w:val="0002501E"/>
    <w:rsid w:val="00030918"/>
    <w:rsid w:val="0003440A"/>
    <w:rsid w:val="000344DF"/>
    <w:rsid w:val="00043058"/>
    <w:rsid w:val="000436AA"/>
    <w:rsid w:val="00054C6E"/>
    <w:rsid w:val="00066A81"/>
    <w:rsid w:val="00070FCD"/>
    <w:rsid w:val="000813C9"/>
    <w:rsid w:val="00085D18"/>
    <w:rsid w:val="00090C5D"/>
    <w:rsid w:val="0009166F"/>
    <w:rsid w:val="000B6C5C"/>
    <w:rsid w:val="000C0B7E"/>
    <w:rsid w:val="000C322C"/>
    <w:rsid w:val="000D0080"/>
    <w:rsid w:val="000D2166"/>
    <w:rsid w:val="000D2829"/>
    <w:rsid w:val="000D5EF9"/>
    <w:rsid w:val="000E0418"/>
    <w:rsid w:val="000E208B"/>
    <w:rsid w:val="000E406A"/>
    <w:rsid w:val="000F1B3F"/>
    <w:rsid w:val="000F6BAE"/>
    <w:rsid w:val="00112FD6"/>
    <w:rsid w:val="00114971"/>
    <w:rsid w:val="0012656C"/>
    <w:rsid w:val="0013000E"/>
    <w:rsid w:val="00133455"/>
    <w:rsid w:val="00136FFB"/>
    <w:rsid w:val="00151F4A"/>
    <w:rsid w:val="0015341F"/>
    <w:rsid w:val="00153E93"/>
    <w:rsid w:val="00155551"/>
    <w:rsid w:val="00157106"/>
    <w:rsid w:val="00160603"/>
    <w:rsid w:val="001612A3"/>
    <w:rsid w:val="001659F7"/>
    <w:rsid w:val="00166E34"/>
    <w:rsid w:val="00174AF9"/>
    <w:rsid w:val="001A016F"/>
    <w:rsid w:val="001A6015"/>
    <w:rsid w:val="001C5191"/>
    <w:rsid w:val="001D00AB"/>
    <w:rsid w:val="001D03B5"/>
    <w:rsid w:val="001D155D"/>
    <w:rsid w:val="001D162E"/>
    <w:rsid w:val="001D5903"/>
    <w:rsid w:val="002043F9"/>
    <w:rsid w:val="00214506"/>
    <w:rsid w:val="00214A12"/>
    <w:rsid w:val="00217063"/>
    <w:rsid w:val="00230C5A"/>
    <w:rsid w:val="002349DE"/>
    <w:rsid w:val="00244DEE"/>
    <w:rsid w:val="0025762B"/>
    <w:rsid w:val="00260929"/>
    <w:rsid w:val="002625DC"/>
    <w:rsid w:val="00265697"/>
    <w:rsid w:val="00266A74"/>
    <w:rsid w:val="0028238E"/>
    <w:rsid w:val="00294100"/>
    <w:rsid w:val="002A2860"/>
    <w:rsid w:val="002A44BF"/>
    <w:rsid w:val="002B3767"/>
    <w:rsid w:val="002C0503"/>
    <w:rsid w:val="002E3288"/>
    <w:rsid w:val="0030127F"/>
    <w:rsid w:val="003017BD"/>
    <w:rsid w:val="00346B73"/>
    <w:rsid w:val="00350407"/>
    <w:rsid w:val="00351DB5"/>
    <w:rsid w:val="00351FD5"/>
    <w:rsid w:val="0035366F"/>
    <w:rsid w:val="003538E7"/>
    <w:rsid w:val="00353933"/>
    <w:rsid w:val="003562F4"/>
    <w:rsid w:val="003564D9"/>
    <w:rsid w:val="0035734F"/>
    <w:rsid w:val="00362E7A"/>
    <w:rsid w:val="00370365"/>
    <w:rsid w:val="00372A1E"/>
    <w:rsid w:val="00374EBB"/>
    <w:rsid w:val="00381965"/>
    <w:rsid w:val="00395361"/>
    <w:rsid w:val="003976D3"/>
    <w:rsid w:val="003A47D1"/>
    <w:rsid w:val="003B0DD0"/>
    <w:rsid w:val="003B1113"/>
    <w:rsid w:val="003B20E4"/>
    <w:rsid w:val="003B22A5"/>
    <w:rsid w:val="003B6CF5"/>
    <w:rsid w:val="003C4AC4"/>
    <w:rsid w:val="003C78A9"/>
    <w:rsid w:val="003D1A9D"/>
    <w:rsid w:val="003D4362"/>
    <w:rsid w:val="003E5A56"/>
    <w:rsid w:val="00401DFB"/>
    <w:rsid w:val="004053FD"/>
    <w:rsid w:val="004114CD"/>
    <w:rsid w:val="004159BB"/>
    <w:rsid w:val="0042101B"/>
    <w:rsid w:val="00422373"/>
    <w:rsid w:val="00427446"/>
    <w:rsid w:val="00432F30"/>
    <w:rsid w:val="00434C66"/>
    <w:rsid w:val="00437229"/>
    <w:rsid w:val="0044016F"/>
    <w:rsid w:val="004404AA"/>
    <w:rsid w:val="00440C44"/>
    <w:rsid w:val="00453BC3"/>
    <w:rsid w:val="00454089"/>
    <w:rsid w:val="00456134"/>
    <w:rsid w:val="0046090B"/>
    <w:rsid w:val="004762DE"/>
    <w:rsid w:val="0047658A"/>
    <w:rsid w:val="0049015D"/>
    <w:rsid w:val="00491355"/>
    <w:rsid w:val="00492575"/>
    <w:rsid w:val="004936A8"/>
    <w:rsid w:val="00493F70"/>
    <w:rsid w:val="00495E78"/>
    <w:rsid w:val="004A2806"/>
    <w:rsid w:val="004B7D39"/>
    <w:rsid w:val="004D289B"/>
    <w:rsid w:val="004D3AE5"/>
    <w:rsid w:val="004F3C25"/>
    <w:rsid w:val="0050648F"/>
    <w:rsid w:val="0050692E"/>
    <w:rsid w:val="00516846"/>
    <w:rsid w:val="0054380A"/>
    <w:rsid w:val="005622A7"/>
    <w:rsid w:val="0056334F"/>
    <w:rsid w:val="0057161C"/>
    <w:rsid w:val="00591228"/>
    <w:rsid w:val="0059231E"/>
    <w:rsid w:val="00595921"/>
    <w:rsid w:val="005A08AE"/>
    <w:rsid w:val="005A31D6"/>
    <w:rsid w:val="005A38D1"/>
    <w:rsid w:val="005A4227"/>
    <w:rsid w:val="005C21B0"/>
    <w:rsid w:val="005C7CDD"/>
    <w:rsid w:val="005D024D"/>
    <w:rsid w:val="005D4223"/>
    <w:rsid w:val="005D49D4"/>
    <w:rsid w:val="005D78C3"/>
    <w:rsid w:val="00610CB6"/>
    <w:rsid w:val="00611B6C"/>
    <w:rsid w:val="006225E0"/>
    <w:rsid w:val="006247EA"/>
    <w:rsid w:val="00625069"/>
    <w:rsid w:val="006265E0"/>
    <w:rsid w:val="0065176E"/>
    <w:rsid w:val="00656A9C"/>
    <w:rsid w:val="00674848"/>
    <w:rsid w:val="00676E24"/>
    <w:rsid w:val="00686F13"/>
    <w:rsid w:val="00697316"/>
    <w:rsid w:val="006B30AC"/>
    <w:rsid w:val="006C2135"/>
    <w:rsid w:val="006C7223"/>
    <w:rsid w:val="006D140D"/>
    <w:rsid w:val="006D401B"/>
    <w:rsid w:val="006F0E2F"/>
    <w:rsid w:val="006F55FD"/>
    <w:rsid w:val="006F5923"/>
    <w:rsid w:val="006F6321"/>
    <w:rsid w:val="007027DB"/>
    <w:rsid w:val="007134E2"/>
    <w:rsid w:val="007341E1"/>
    <w:rsid w:val="00744B4D"/>
    <w:rsid w:val="00754C1B"/>
    <w:rsid w:val="00766FD1"/>
    <w:rsid w:val="007804C7"/>
    <w:rsid w:val="00784DAD"/>
    <w:rsid w:val="00791A34"/>
    <w:rsid w:val="00794438"/>
    <w:rsid w:val="00795EB7"/>
    <w:rsid w:val="007A0573"/>
    <w:rsid w:val="007A30FB"/>
    <w:rsid w:val="007A4837"/>
    <w:rsid w:val="007A5A83"/>
    <w:rsid w:val="007A6EC8"/>
    <w:rsid w:val="007B1016"/>
    <w:rsid w:val="007B27AF"/>
    <w:rsid w:val="007B5D59"/>
    <w:rsid w:val="007C4893"/>
    <w:rsid w:val="007F56F0"/>
    <w:rsid w:val="007F6F20"/>
    <w:rsid w:val="00803C2D"/>
    <w:rsid w:val="00806749"/>
    <w:rsid w:val="008143F2"/>
    <w:rsid w:val="00822E32"/>
    <w:rsid w:val="00823796"/>
    <w:rsid w:val="00827634"/>
    <w:rsid w:val="008533A6"/>
    <w:rsid w:val="008537CB"/>
    <w:rsid w:val="00854F40"/>
    <w:rsid w:val="008610CB"/>
    <w:rsid w:val="00867B9C"/>
    <w:rsid w:val="008758E0"/>
    <w:rsid w:val="0088371E"/>
    <w:rsid w:val="00887300"/>
    <w:rsid w:val="0089252F"/>
    <w:rsid w:val="008A48E5"/>
    <w:rsid w:val="008A7D98"/>
    <w:rsid w:val="008B2ECC"/>
    <w:rsid w:val="008B483B"/>
    <w:rsid w:val="008B5A45"/>
    <w:rsid w:val="008B7880"/>
    <w:rsid w:val="008B7FDB"/>
    <w:rsid w:val="008C7403"/>
    <w:rsid w:val="008D1C3A"/>
    <w:rsid w:val="008E24D2"/>
    <w:rsid w:val="008F3D01"/>
    <w:rsid w:val="008F50DF"/>
    <w:rsid w:val="0090442C"/>
    <w:rsid w:val="00911542"/>
    <w:rsid w:val="00915840"/>
    <w:rsid w:val="00923C9E"/>
    <w:rsid w:val="00925262"/>
    <w:rsid w:val="00925501"/>
    <w:rsid w:val="00926292"/>
    <w:rsid w:val="009301C7"/>
    <w:rsid w:val="00944F66"/>
    <w:rsid w:val="0097001E"/>
    <w:rsid w:val="009745AC"/>
    <w:rsid w:val="009764CA"/>
    <w:rsid w:val="00985200"/>
    <w:rsid w:val="0098553A"/>
    <w:rsid w:val="009A06B1"/>
    <w:rsid w:val="009A2C2F"/>
    <w:rsid w:val="009A4F86"/>
    <w:rsid w:val="009C0BBA"/>
    <w:rsid w:val="009C198F"/>
    <w:rsid w:val="009D2113"/>
    <w:rsid w:val="009D442A"/>
    <w:rsid w:val="009E2AEE"/>
    <w:rsid w:val="009F4D7B"/>
    <w:rsid w:val="00A242FD"/>
    <w:rsid w:val="00A36BED"/>
    <w:rsid w:val="00A401B3"/>
    <w:rsid w:val="00A40D5D"/>
    <w:rsid w:val="00A421EC"/>
    <w:rsid w:val="00A50228"/>
    <w:rsid w:val="00A5279E"/>
    <w:rsid w:val="00A60434"/>
    <w:rsid w:val="00A665F6"/>
    <w:rsid w:val="00A66CD2"/>
    <w:rsid w:val="00A67664"/>
    <w:rsid w:val="00AA300B"/>
    <w:rsid w:val="00AA409C"/>
    <w:rsid w:val="00AA686B"/>
    <w:rsid w:val="00AA759A"/>
    <w:rsid w:val="00AB2E01"/>
    <w:rsid w:val="00AB57BD"/>
    <w:rsid w:val="00AB7182"/>
    <w:rsid w:val="00AB73B4"/>
    <w:rsid w:val="00AB7927"/>
    <w:rsid w:val="00AC7EF0"/>
    <w:rsid w:val="00AD2C96"/>
    <w:rsid w:val="00AE05AB"/>
    <w:rsid w:val="00AE6179"/>
    <w:rsid w:val="00AF54AE"/>
    <w:rsid w:val="00AF6A64"/>
    <w:rsid w:val="00B03E6B"/>
    <w:rsid w:val="00B04897"/>
    <w:rsid w:val="00B140E6"/>
    <w:rsid w:val="00B217FF"/>
    <w:rsid w:val="00B22DB2"/>
    <w:rsid w:val="00B26318"/>
    <w:rsid w:val="00B35153"/>
    <w:rsid w:val="00B362DA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3FCC"/>
    <w:rsid w:val="00B87F88"/>
    <w:rsid w:val="00B91D6A"/>
    <w:rsid w:val="00B9639A"/>
    <w:rsid w:val="00BA4337"/>
    <w:rsid w:val="00BB3CA2"/>
    <w:rsid w:val="00BB4269"/>
    <w:rsid w:val="00BC090F"/>
    <w:rsid w:val="00BC3672"/>
    <w:rsid w:val="00BC46AE"/>
    <w:rsid w:val="00BD23FE"/>
    <w:rsid w:val="00BE2AF3"/>
    <w:rsid w:val="00BE48FE"/>
    <w:rsid w:val="00BF0D40"/>
    <w:rsid w:val="00BF281A"/>
    <w:rsid w:val="00BF4EE3"/>
    <w:rsid w:val="00BF7BEF"/>
    <w:rsid w:val="00C242B6"/>
    <w:rsid w:val="00C2694F"/>
    <w:rsid w:val="00C32784"/>
    <w:rsid w:val="00C42BAD"/>
    <w:rsid w:val="00C43819"/>
    <w:rsid w:val="00C479ED"/>
    <w:rsid w:val="00C65015"/>
    <w:rsid w:val="00C94651"/>
    <w:rsid w:val="00CA3261"/>
    <w:rsid w:val="00CA680C"/>
    <w:rsid w:val="00CB2B15"/>
    <w:rsid w:val="00CB5594"/>
    <w:rsid w:val="00CC3EC9"/>
    <w:rsid w:val="00CC3F8D"/>
    <w:rsid w:val="00CC64BE"/>
    <w:rsid w:val="00CF658C"/>
    <w:rsid w:val="00CF6A62"/>
    <w:rsid w:val="00D10349"/>
    <w:rsid w:val="00D22150"/>
    <w:rsid w:val="00D26F77"/>
    <w:rsid w:val="00D3601A"/>
    <w:rsid w:val="00D5653C"/>
    <w:rsid w:val="00D57B31"/>
    <w:rsid w:val="00D67E57"/>
    <w:rsid w:val="00D90520"/>
    <w:rsid w:val="00D92D46"/>
    <w:rsid w:val="00D936FC"/>
    <w:rsid w:val="00DA026A"/>
    <w:rsid w:val="00DA13E8"/>
    <w:rsid w:val="00DA4075"/>
    <w:rsid w:val="00DD18B7"/>
    <w:rsid w:val="00DD7AE8"/>
    <w:rsid w:val="00DE082E"/>
    <w:rsid w:val="00DE5E07"/>
    <w:rsid w:val="00DE6E20"/>
    <w:rsid w:val="00E026E6"/>
    <w:rsid w:val="00E06EB2"/>
    <w:rsid w:val="00E07228"/>
    <w:rsid w:val="00E07C62"/>
    <w:rsid w:val="00E25396"/>
    <w:rsid w:val="00E2750D"/>
    <w:rsid w:val="00E31924"/>
    <w:rsid w:val="00E44121"/>
    <w:rsid w:val="00E4617A"/>
    <w:rsid w:val="00E51AB8"/>
    <w:rsid w:val="00E525F9"/>
    <w:rsid w:val="00E54B82"/>
    <w:rsid w:val="00E57957"/>
    <w:rsid w:val="00E70BB4"/>
    <w:rsid w:val="00E71A9C"/>
    <w:rsid w:val="00E71D62"/>
    <w:rsid w:val="00E76154"/>
    <w:rsid w:val="00EA16A4"/>
    <w:rsid w:val="00EA1923"/>
    <w:rsid w:val="00EA2FA7"/>
    <w:rsid w:val="00EA6A3F"/>
    <w:rsid w:val="00EF1737"/>
    <w:rsid w:val="00EF324D"/>
    <w:rsid w:val="00F002E4"/>
    <w:rsid w:val="00F0205D"/>
    <w:rsid w:val="00F04267"/>
    <w:rsid w:val="00F04A00"/>
    <w:rsid w:val="00F66D67"/>
    <w:rsid w:val="00F7270B"/>
    <w:rsid w:val="00F7299E"/>
    <w:rsid w:val="00F74E9D"/>
    <w:rsid w:val="00F75D3A"/>
    <w:rsid w:val="00F92985"/>
    <w:rsid w:val="00FA6197"/>
    <w:rsid w:val="00FB1401"/>
    <w:rsid w:val="00FC0C4D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F036-CB5F-40BF-B0D4-39D76446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164</cp:revision>
  <cp:lastPrinted>2019-04-23T12:45:00Z</cp:lastPrinted>
  <dcterms:created xsi:type="dcterms:W3CDTF">2021-06-03T06:37:00Z</dcterms:created>
  <dcterms:modified xsi:type="dcterms:W3CDTF">2021-12-01T10:38:00Z</dcterms:modified>
</cp:coreProperties>
</file>